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817" w:rsidRPr="004B79A8" w:rsidRDefault="00EF4817" w:rsidP="00DC33EB">
      <w:pPr>
        <w:spacing w:before="0" w:after="0"/>
        <w:jc w:val="both"/>
        <w:rPr>
          <w:rFonts w:ascii="Arial" w:hAnsi="Arial" w:cs="Arial"/>
          <w:sz w:val="24"/>
          <w:lang w:val="en-AU"/>
        </w:rPr>
      </w:pPr>
    </w:p>
    <w:p w:rsidR="00EF4817" w:rsidRPr="004B79A8" w:rsidRDefault="00EF4817" w:rsidP="00DC33EB">
      <w:pPr>
        <w:spacing w:before="40" w:after="60"/>
        <w:jc w:val="both"/>
        <w:rPr>
          <w:rFonts w:ascii="Arial" w:hAnsi="Arial" w:cs="Arial"/>
          <w:sz w:val="24"/>
          <w:lang w:val="en-AU"/>
        </w:rPr>
      </w:pPr>
      <w:r w:rsidRPr="004B79A8">
        <w:rPr>
          <w:rFonts w:ascii="Arial" w:hAnsi="Arial" w:cs="Arial"/>
          <w:noProof/>
          <w:sz w:val="24"/>
          <w:lang w:val="en-AU" w:eastAsia="en-AU"/>
        </w:rPr>
        <w:drawing>
          <wp:inline distT="0" distB="0" distL="0" distR="0">
            <wp:extent cx="1194955" cy="1000125"/>
            <wp:effectExtent l="19050" t="0" r="5195" b="0"/>
            <wp:docPr id="7" name="Picture 1" descr="MCC Logo_V_5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 Logo_V_5x4"/>
                    <pic:cNvPicPr>
                      <a:picLocks noChangeAspect="1" noChangeArrowheads="1"/>
                    </pic:cNvPicPr>
                  </pic:nvPicPr>
                  <pic:blipFill>
                    <a:blip r:embed="rId8" cstate="print"/>
                    <a:srcRect/>
                    <a:stretch>
                      <a:fillRect/>
                    </a:stretch>
                  </pic:blipFill>
                  <pic:spPr bwMode="auto">
                    <a:xfrm>
                      <a:off x="0" y="0"/>
                      <a:ext cx="1194955" cy="1000125"/>
                    </a:xfrm>
                    <a:prstGeom prst="rect">
                      <a:avLst/>
                    </a:prstGeom>
                    <a:noFill/>
                    <a:ln w="9525">
                      <a:noFill/>
                      <a:miter lim="800000"/>
                      <a:headEnd/>
                      <a:tailEnd/>
                    </a:ln>
                  </pic:spPr>
                </pic:pic>
              </a:graphicData>
            </a:graphic>
          </wp:inline>
        </w:drawing>
      </w:r>
    </w:p>
    <w:p w:rsidR="00EF4817" w:rsidRPr="004B79A8" w:rsidRDefault="00EF4817" w:rsidP="00DC33EB">
      <w:pPr>
        <w:spacing w:before="40" w:after="60"/>
        <w:jc w:val="both"/>
        <w:rPr>
          <w:rFonts w:ascii="Arial" w:hAnsi="Arial" w:cs="Arial"/>
          <w:sz w:val="24"/>
          <w:lang w:val="en-AU"/>
        </w:rPr>
      </w:pPr>
    </w:p>
    <w:p w:rsidR="00EF4817" w:rsidRPr="004B79A8" w:rsidRDefault="00EF4817" w:rsidP="00DC33EB">
      <w:pPr>
        <w:spacing w:before="40" w:after="60"/>
        <w:jc w:val="both"/>
        <w:rPr>
          <w:rFonts w:ascii="Arial" w:hAnsi="Arial" w:cs="Arial"/>
          <w:sz w:val="24"/>
          <w:lang w:val="en-AU"/>
        </w:rPr>
      </w:pPr>
    </w:p>
    <w:p w:rsidR="00EF4817" w:rsidRPr="004B79A8" w:rsidRDefault="00EF4817" w:rsidP="00DC33EB">
      <w:pPr>
        <w:spacing w:before="40" w:after="60"/>
        <w:jc w:val="both"/>
        <w:rPr>
          <w:rFonts w:ascii="Arial" w:hAnsi="Arial" w:cs="Arial"/>
          <w:sz w:val="24"/>
          <w:lang w:val="en-AU"/>
        </w:rPr>
      </w:pPr>
    </w:p>
    <w:p w:rsidR="00EF4817" w:rsidRPr="00A71102" w:rsidRDefault="00002C23" w:rsidP="00DC33EB">
      <w:pPr>
        <w:pBdr>
          <w:bottom w:val="single" w:sz="4" w:space="1" w:color="auto"/>
        </w:pBdr>
        <w:jc w:val="both"/>
        <w:rPr>
          <w:rFonts w:ascii="Arial" w:hAnsi="Arial" w:cs="Arial"/>
          <w:b/>
          <w:color w:val="002060"/>
          <w:sz w:val="36"/>
          <w:szCs w:val="36"/>
          <w:lang w:val="en-AU"/>
        </w:rPr>
      </w:pPr>
      <w:r w:rsidRPr="00A71102">
        <w:rPr>
          <w:rFonts w:ascii="Arial" w:hAnsi="Arial" w:cs="Arial"/>
          <w:b/>
          <w:color w:val="002060"/>
          <w:sz w:val="36"/>
          <w:szCs w:val="36"/>
          <w:lang w:val="en-AU"/>
        </w:rPr>
        <w:t>Reducing Har</w:t>
      </w:r>
      <w:r w:rsidR="00924D9E" w:rsidRPr="00A71102">
        <w:rPr>
          <w:rFonts w:ascii="Arial" w:hAnsi="Arial" w:cs="Arial"/>
          <w:b/>
          <w:color w:val="002060"/>
          <w:sz w:val="36"/>
          <w:szCs w:val="36"/>
          <w:lang w:val="en-AU"/>
        </w:rPr>
        <w:t>m from Gambling Policy 2016-2020</w:t>
      </w:r>
    </w:p>
    <w:p w:rsidR="00EF4817" w:rsidRPr="004B79A8" w:rsidRDefault="00EF4817" w:rsidP="00DC33EB">
      <w:pPr>
        <w:spacing w:before="0" w:after="0"/>
        <w:jc w:val="both"/>
        <w:rPr>
          <w:rFonts w:ascii="Arial" w:hAnsi="Arial" w:cs="Arial"/>
          <w:sz w:val="24"/>
          <w:lang w:val="en-AU"/>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E0E0E0"/>
        <w:tblLayout w:type="fixed"/>
        <w:tblLook w:val="01E0" w:firstRow="1" w:lastRow="1" w:firstColumn="1" w:lastColumn="1" w:noHBand="0" w:noVBand="0"/>
      </w:tblPr>
      <w:tblGrid>
        <w:gridCol w:w="1701"/>
        <w:gridCol w:w="2977"/>
        <w:gridCol w:w="2072"/>
        <w:gridCol w:w="2039"/>
      </w:tblGrid>
      <w:tr w:rsidR="00EF4817" w:rsidRPr="004B79A8" w:rsidTr="00D0617B">
        <w:trPr>
          <w:trHeight w:val="210"/>
        </w:trPr>
        <w:tc>
          <w:tcPr>
            <w:tcW w:w="1701" w:type="dxa"/>
            <w:shd w:val="clear" w:color="auto" w:fill="E0E0E0"/>
          </w:tcPr>
          <w:p w:rsidR="00EF4817" w:rsidRPr="004B79A8" w:rsidRDefault="00EF4817" w:rsidP="00DC33EB">
            <w:pPr>
              <w:pStyle w:val="PlainText"/>
              <w:spacing w:before="0" w:after="0"/>
              <w:jc w:val="both"/>
              <w:rPr>
                <w:rFonts w:ascii="Arial" w:hAnsi="Arial" w:cs="Arial"/>
                <w:b/>
                <w:sz w:val="24"/>
                <w:szCs w:val="24"/>
              </w:rPr>
            </w:pPr>
          </w:p>
          <w:p w:rsidR="00EF4817" w:rsidRPr="004B79A8" w:rsidRDefault="00EF4817" w:rsidP="00DC33EB">
            <w:pPr>
              <w:pStyle w:val="PlainText"/>
              <w:spacing w:before="0" w:after="0"/>
              <w:jc w:val="both"/>
              <w:rPr>
                <w:rFonts w:ascii="Arial" w:hAnsi="Arial" w:cs="Arial"/>
                <w:b/>
                <w:sz w:val="24"/>
                <w:szCs w:val="24"/>
              </w:rPr>
            </w:pPr>
            <w:r w:rsidRPr="004B79A8">
              <w:rPr>
                <w:rFonts w:ascii="Arial" w:hAnsi="Arial" w:cs="Arial"/>
                <w:b/>
                <w:sz w:val="24"/>
                <w:szCs w:val="24"/>
              </w:rPr>
              <w:t>Records number:</w:t>
            </w:r>
          </w:p>
          <w:p w:rsidR="00EF4817" w:rsidRPr="004B79A8" w:rsidRDefault="00EF4817" w:rsidP="00DC33EB">
            <w:pPr>
              <w:pStyle w:val="PlainText"/>
              <w:spacing w:before="0" w:after="0"/>
              <w:jc w:val="both"/>
              <w:rPr>
                <w:rFonts w:ascii="Arial" w:hAnsi="Arial" w:cs="Arial"/>
                <w:b/>
                <w:sz w:val="24"/>
                <w:szCs w:val="24"/>
              </w:rPr>
            </w:pPr>
          </w:p>
        </w:tc>
        <w:tc>
          <w:tcPr>
            <w:tcW w:w="2977" w:type="dxa"/>
            <w:shd w:val="clear" w:color="auto" w:fill="E0E0E0"/>
          </w:tcPr>
          <w:p w:rsidR="00EF4817" w:rsidRPr="004B79A8" w:rsidRDefault="00EF4817" w:rsidP="00DC33EB">
            <w:pPr>
              <w:pStyle w:val="PlainText"/>
              <w:spacing w:before="0" w:after="0"/>
              <w:jc w:val="both"/>
              <w:rPr>
                <w:rFonts w:ascii="Arial" w:hAnsi="Arial" w:cs="Arial"/>
                <w:color w:val="808080"/>
                <w:sz w:val="24"/>
                <w:szCs w:val="24"/>
              </w:rPr>
            </w:pPr>
          </w:p>
          <w:p w:rsidR="00EF4817" w:rsidRPr="004B79A8" w:rsidRDefault="00EF4817" w:rsidP="00DC33EB">
            <w:pPr>
              <w:pStyle w:val="PlainText"/>
              <w:spacing w:before="0" w:after="0"/>
              <w:jc w:val="both"/>
              <w:rPr>
                <w:rFonts w:ascii="Arial" w:hAnsi="Arial" w:cs="Arial"/>
                <w:color w:val="808080"/>
                <w:sz w:val="24"/>
                <w:szCs w:val="24"/>
              </w:rPr>
            </w:pPr>
          </w:p>
        </w:tc>
        <w:tc>
          <w:tcPr>
            <w:tcW w:w="2072" w:type="dxa"/>
            <w:shd w:val="clear" w:color="auto" w:fill="E0E0E0"/>
          </w:tcPr>
          <w:p w:rsidR="00EF4817" w:rsidRPr="004B79A8" w:rsidRDefault="00EF4817" w:rsidP="00DC33EB">
            <w:pPr>
              <w:pStyle w:val="PlainText"/>
              <w:spacing w:before="0" w:after="0"/>
              <w:jc w:val="both"/>
              <w:rPr>
                <w:rFonts w:ascii="Arial" w:hAnsi="Arial" w:cs="Arial"/>
                <w:b/>
                <w:sz w:val="24"/>
                <w:szCs w:val="24"/>
              </w:rPr>
            </w:pPr>
          </w:p>
          <w:p w:rsidR="00EF4817" w:rsidRPr="004B79A8" w:rsidRDefault="00EF4817" w:rsidP="00DC33EB">
            <w:pPr>
              <w:pStyle w:val="PlainText"/>
              <w:spacing w:before="0" w:after="0"/>
              <w:jc w:val="both"/>
              <w:rPr>
                <w:rFonts w:ascii="Arial" w:hAnsi="Arial" w:cs="Arial"/>
                <w:b/>
                <w:sz w:val="24"/>
                <w:szCs w:val="24"/>
              </w:rPr>
            </w:pPr>
            <w:r w:rsidRPr="004B79A8">
              <w:rPr>
                <w:rFonts w:ascii="Arial" w:hAnsi="Arial" w:cs="Arial"/>
                <w:b/>
                <w:sz w:val="24"/>
                <w:szCs w:val="24"/>
              </w:rPr>
              <w:t>Endorsed by:</w:t>
            </w:r>
          </w:p>
        </w:tc>
        <w:tc>
          <w:tcPr>
            <w:tcW w:w="2039" w:type="dxa"/>
            <w:shd w:val="clear" w:color="auto" w:fill="E0E0E0"/>
          </w:tcPr>
          <w:p w:rsidR="00EF4817" w:rsidRPr="004B79A8" w:rsidRDefault="00EF4817" w:rsidP="00DC33EB">
            <w:pPr>
              <w:pStyle w:val="PlainText"/>
              <w:spacing w:before="0" w:after="0"/>
              <w:jc w:val="both"/>
              <w:rPr>
                <w:rFonts w:ascii="Arial" w:hAnsi="Arial" w:cs="Arial"/>
                <w:color w:val="808080"/>
                <w:sz w:val="24"/>
                <w:szCs w:val="24"/>
              </w:rPr>
            </w:pPr>
          </w:p>
          <w:p w:rsidR="00EF4817" w:rsidRPr="004B79A8" w:rsidRDefault="00EF4817" w:rsidP="00DC33EB">
            <w:pPr>
              <w:pStyle w:val="PlainText"/>
              <w:spacing w:before="0" w:after="0"/>
              <w:jc w:val="both"/>
              <w:rPr>
                <w:rFonts w:ascii="Arial" w:hAnsi="Arial" w:cs="Arial"/>
                <w:color w:val="808080"/>
                <w:sz w:val="24"/>
                <w:szCs w:val="24"/>
              </w:rPr>
            </w:pPr>
          </w:p>
        </w:tc>
      </w:tr>
      <w:tr w:rsidR="00EF4817" w:rsidRPr="004B79A8" w:rsidTr="00D0617B">
        <w:trPr>
          <w:trHeight w:val="108"/>
        </w:trPr>
        <w:tc>
          <w:tcPr>
            <w:tcW w:w="1701" w:type="dxa"/>
            <w:shd w:val="clear" w:color="auto" w:fill="E0E0E0"/>
          </w:tcPr>
          <w:p w:rsidR="00EF4817" w:rsidRPr="004B79A8" w:rsidRDefault="00EF4817" w:rsidP="00DC33EB">
            <w:pPr>
              <w:pStyle w:val="PlainText"/>
              <w:spacing w:before="0" w:after="0"/>
              <w:jc w:val="both"/>
              <w:rPr>
                <w:rFonts w:ascii="Arial" w:hAnsi="Arial" w:cs="Arial"/>
                <w:b/>
                <w:sz w:val="24"/>
                <w:szCs w:val="24"/>
              </w:rPr>
            </w:pPr>
            <w:r w:rsidRPr="004B79A8">
              <w:rPr>
                <w:rFonts w:ascii="Arial" w:hAnsi="Arial" w:cs="Arial"/>
                <w:b/>
                <w:sz w:val="24"/>
                <w:szCs w:val="24"/>
              </w:rPr>
              <w:t>Date Endorsed:</w:t>
            </w:r>
          </w:p>
          <w:p w:rsidR="00EF4817" w:rsidRPr="004B79A8" w:rsidRDefault="00EF4817" w:rsidP="00DC33EB">
            <w:pPr>
              <w:pStyle w:val="PlainText"/>
              <w:spacing w:before="0" w:after="0"/>
              <w:jc w:val="both"/>
              <w:rPr>
                <w:rFonts w:ascii="Arial" w:hAnsi="Arial" w:cs="Arial"/>
                <w:b/>
                <w:sz w:val="24"/>
                <w:szCs w:val="24"/>
              </w:rPr>
            </w:pPr>
          </w:p>
        </w:tc>
        <w:tc>
          <w:tcPr>
            <w:tcW w:w="2977" w:type="dxa"/>
            <w:shd w:val="clear" w:color="auto" w:fill="E0E0E0"/>
          </w:tcPr>
          <w:p w:rsidR="00EF4817" w:rsidRPr="004B79A8" w:rsidRDefault="00EF4817" w:rsidP="00DC33EB">
            <w:pPr>
              <w:pStyle w:val="PlainText"/>
              <w:spacing w:before="0" w:after="0"/>
              <w:jc w:val="both"/>
              <w:rPr>
                <w:rFonts w:ascii="Arial" w:hAnsi="Arial" w:cs="Arial"/>
                <w:color w:val="808080"/>
                <w:sz w:val="24"/>
                <w:szCs w:val="24"/>
              </w:rPr>
            </w:pPr>
          </w:p>
        </w:tc>
        <w:tc>
          <w:tcPr>
            <w:tcW w:w="2072" w:type="dxa"/>
            <w:shd w:val="clear" w:color="auto" w:fill="E0E0E0"/>
          </w:tcPr>
          <w:p w:rsidR="00EF4817" w:rsidRPr="004B79A8" w:rsidRDefault="00EF4817" w:rsidP="00DC33EB">
            <w:pPr>
              <w:pStyle w:val="PlainText"/>
              <w:spacing w:before="0" w:after="0"/>
              <w:jc w:val="both"/>
              <w:rPr>
                <w:rFonts w:ascii="Arial" w:hAnsi="Arial" w:cs="Arial"/>
                <w:b/>
                <w:sz w:val="24"/>
                <w:szCs w:val="24"/>
              </w:rPr>
            </w:pPr>
            <w:r w:rsidRPr="004B79A8">
              <w:rPr>
                <w:rFonts w:ascii="Arial" w:hAnsi="Arial" w:cs="Arial"/>
                <w:b/>
                <w:sz w:val="24"/>
                <w:szCs w:val="24"/>
              </w:rPr>
              <w:t>Policy Author:</w:t>
            </w:r>
          </w:p>
        </w:tc>
        <w:tc>
          <w:tcPr>
            <w:tcW w:w="2039" w:type="dxa"/>
            <w:shd w:val="clear" w:color="auto" w:fill="E0E0E0"/>
          </w:tcPr>
          <w:p w:rsidR="00EF4817" w:rsidRPr="004B79A8" w:rsidRDefault="00EF4817" w:rsidP="00DC33EB">
            <w:pPr>
              <w:pStyle w:val="PlainText"/>
              <w:spacing w:before="0" w:after="0"/>
              <w:jc w:val="both"/>
              <w:rPr>
                <w:rFonts w:ascii="Arial" w:hAnsi="Arial" w:cs="Arial"/>
                <w:color w:val="808080"/>
                <w:sz w:val="24"/>
                <w:szCs w:val="24"/>
              </w:rPr>
            </w:pPr>
          </w:p>
        </w:tc>
      </w:tr>
      <w:tr w:rsidR="00EF4817" w:rsidRPr="004B79A8" w:rsidTr="00D0617B">
        <w:trPr>
          <w:trHeight w:val="1150"/>
        </w:trPr>
        <w:tc>
          <w:tcPr>
            <w:tcW w:w="1701" w:type="dxa"/>
            <w:shd w:val="clear" w:color="auto" w:fill="E0E0E0"/>
          </w:tcPr>
          <w:p w:rsidR="00EF4817" w:rsidRPr="004B79A8" w:rsidRDefault="00EF4817" w:rsidP="00DC33EB">
            <w:pPr>
              <w:pStyle w:val="PlainText"/>
              <w:spacing w:before="0" w:after="0"/>
              <w:jc w:val="both"/>
              <w:rPr>
                <w:rFonts w:ascii="Arial" w:hAnsi="Arial" w:cs="Arial"/>
                <w:b/>
                <w:sz w:val="24"/>
                <w:szCs w:val="24"/>
              </w:rPr>
            </w:pPr>
            <w:r w:rsidRPr="004B79A8">
              <w:rPr>
                <w:rFonts w:ascii="Arial" w:hAnsi="Arial" w:cs="Arial"/>
                <w:b/>
                <w:sz w:val="24"/>
                <w:szCs w:val="24"/>
              </w:rPr>
              <w:t>Policy Owner:</w:t>
            </w:r>
          </w:p>
          <w:p w:rsidR="00EF4817" w:rsidRPr="004B79A8" w:rsidRDefault="00EF4817" w:rsidP="00DC33EB">
            <w:pPr>
              <w:pStyle w:val="PlainText"/>
              <w:spacing w:before="0" w:after="0"/>
              <w:jc w:val="both"/>
              <w:rPr>
                <w:rFonts w:ascii="Arial" w:hAnsi="Arial" w:cs="Arial"/>
                <w:b/>
                <w:sz w:val="24"/>
                <w:szCs w:val="24"/>
              </w:rPr>
            </w:pPr>
          </w:p>
          <w:p w:rsidR="00EF4817" w:rsidRPr="004B79A8" w:rsidRDefault="00EF4817" w:rsidP="00DC33EB">
            <w:pPr>
              <w:pStyle w:val="PlainText"/>
              <w:spacing w:before="0" w:after="0"/>
              <w:jc w:val="both"/>
              <w:rPr>
                <w:rFonts w:ascii="Arial" w:hAnsi="Arial" w:cs="Arial"/>
                <w:b/>
                <w:sz w:val="24"/>
                <w:szCs w:val="24"/>
              </w:rPr>
            </w:pPr>
            <w:r w:rsidRPr="004B79A8">
              <w:rPr>
                <w:rFonts w:ascii="Arial" w:hAnsi="Arial" w:cs="Arial"/>
                <w:b/>
                <w:sz w:val="24"/>
                <w:szCs w:val="24"/>
              </w:rPr>
              <w:t>Policy Status:</w:t>
            </w:r>
          </w:p>
          <w:p w:rsidR="00EF4817" w:rsidRPr="004B79A8" w:rsidRDefault="00EF4817" w:rsidP="00DC33EB">
            <w:pPr>
              <w:pStyle w:val="PlainText"/>
              <w:spacing w:before="0" w:after="0"/>
              <w:jc w:val="both"/>
              <w:rPr>
                <w:rFonts w:ascii="Arial" w:hAnsi="Arial" w:cs="Arial"/>
                <w:b/>
                <w:sz w:val="24"/>
                <w:szCs w:val="24"/>
              </w:rPr>
            </w:pPr>
          </w:p>
        </w:tc>
        <w:tc>
          <w:tcPr>
            <w:tcW w:w="2977" w:type="dxa"/>
            <w:shd w:val="clear" w:color="auto" w:fill="E0E0E0"/>
          </w:tcPr>
          <w:p w:rsidR="00EF4817" w:rsidRPr="004B79A8" w:rsidRDefault="00EF4817" w:rsidP="00DC33EB">
            <w:pPr>
              <w:pStyle w:val="PlainText"/>
              <w:spacing w:before="0" w:after="0"/>
              <w:jc w:val="both"/>
              <w:rPr>
                <w:rFonts w:ascii="Arial" w:hAnsi="Arial" w:cs="Arial"/>
                <w:color w:val="808080"/>
                <w:sz w:val="24"/>
                <w:szCs w:val="24"/>
              </w:rPr>
            </w:pPr>
          </w:p>
          <w:p w:rsidR="00EF4817" w:rsidRPr="004B79A8" w:rsidRDefault="00EF4817" w:rsidP="00DC33EB">
            <w:pPr>
              <w:pStyle w:val="PlainText"/>
              <w:spacing w:before="0" w:after="0"/>
              <w:jc w:val="both"/>
              <w:rPr>
                <w:rFonts w:ascii="Arial" w:hAnsi="Arial" w:cs="Arial"/>
                <w:color w:val="808080"/>
                <w:sz w:val="24"/>
                <w:szCs w:val="24"/>
              </w:rPr>
            </w:pPr>
          </w:p>
          <w:p w:rsidR="00EF4817" w:rsidRPr="004B79A8" w:rsidRDefault="00EF4817" w:rsidP="00DC33EB">
            <w:pPr>
              <w:pStyle w:val="PlainText"/>
              <w:spacing w:before="0" w:after="0"/>
              <w:jc w:val="both"/>
              <w:rPr>
                <w:rFonts w:ascii="Arial" w:hAnsi="Arial" w:cs="Arial"/>
                <w:color w:val="808080"/>
                <w:sz w:val="24"/>
                <w:szCs w:val="24"/>
              </w:rPr>
            </w:pPr>
          </w:p>
        </w:tc>
        <w:tc>
          <w:tcPr>
            <w:tcW w:w="2072" w:type="dxa"/>
            <w:shd w:val="clear" w:color="auto" w:fill="E0E0E0"/>
          </w:tcPr>
          <w:p w:rsidR="00EF4817" w:rsidRPr="004B79A8" w:rsidRDefault="00EF4817" w:rsidP="00DC33EB">
            <w:pPr>
              <w:pStyle w:val="PlainText"/>
              <w:spacing w:before="0" w:after="0"/>
              <w:jc w:val="both"/>
              <w:rPr>
                <w:rFonts w:ascii="Arial" w:hAnsi="Arial" w:cs="Arial"/>
                <w:b/>
                <w:sz w:val="24"/>
                <w:szCs w:val="24"/>
              </w:rPr>
            </w:pPr>
            <w:r w:rsidRPr="004B79A8">
              <w:rPr>
                <w:rFonts w:ascii="Arial" w:hAnsi="Arial" w:cs="Arial"/>
                <w:b/>
                <w:sz w:val="24"/>
                <w:szCs w:val="24"/>
              </w:rPr>
              <w:t>Review date</w:t>
            </w:r>
          </w:p>
          <w:p w:rsidR="00EF4817" w:rsidRPr="004B79A8" w:rsidRDefault="00EF4817" w:rsidP="00DC33EB">
            <w:pPr>
              <w:pStyle w:val="PlainText"/>
              <w:spacing w:before="0" w:after="0"/>
              <w:jc w:val="both"/>
              <w:rPr>
                <w:rFonts w:ascii="Arial" w:hAnsi="Arial" w:cs="Arial"/>
                <w:b/>
                <w:sz w:val="24"/>
                <w:szCs w:val="24"/>
              </w:rPr>
            </w:pPr>
          </w:p>
          <w:p w:rsidR="00EF4817" w:rsidRPr="004B79A8" w:rsidRDefault="00EF4817" w:rsidP="00DC33EB">
            <w:pPr>
              <w:pStyle w:val="PlainText"/>
              <w:spacing w:before="0" w:after="0"/>
              <w:jc w:val="both"/>
              <w:rPr>
                <w:rFonts w:ascii="Arial" w:hAnsi="Arial" w:cs="Arial"/>
                <w:b/>
                <w:sz w:val="24"/>
                <w:szCs w:val="24"/>
              </w:rPr>
            </w:pPr>
            <w:r w:rsidRPr="004B79A8">
              <w:rPr>
                <w:rFonts w:ascii="Arial" w:hAnsi="Arial" w:cs="Arial"/>
                <w:b/>
                <w:sz w:val="24"/>
                <w:szCs w:val="24"/>
              </w:rPr>
              <w:t>Policy type</w:t>
            </w:r>
          </w:p>
        </w:tc>
        <w:tc>
          <w:tcPr>
            <w:tcW w:w="2039" w:type="dxa"/>
            <w:shd w:val="clear" w:color="auto" w:fill="E0E0E0"/>
          </w:tcPr>
          <w:p w:rsidR="00EF4817" w:rsidRPr="004B79A8" w:rsidRDefault="00EF4817" w:rsidP="00DC33EB">
            <w:pPr>
              <w:pStyle w:val="PlainText"/>
              <w:spacing w:before="0" w:after="0"/>
              <w:jc w:val="both"/>
              <w:rPr>
                <w:rFonts w:ascii="Arial" w:hAnsi="Arial" w:cs="Arial"/>
                <w:color w:val="808080"/>
                <w:sz w:val="24"/>
                <w:szCs w:val="24"/>
              </w:rPr>
            </w:pPr>
          </w:p>
          <w:p w:rsidR="00EF4817" w:rsidRPr="004B79A8" w:rsidRDefault="00EF4817" w:rsidP="00DC33EB">
            <w:pPr>
              <w:pStyle w:val="PlainText"/>
              <w:spacing w:before="0" w:after="0"/>
              <w:jc w:val="both"/>
              <w:rPr>
                <w:rFonts w:ascii="Arial" w:hAnsi="Arial" w:cs="Arial"/>
                <w:color w:val="808080"/>
                <w:sz w:val="24"/>
                <w:szCs w:val="24"/>
              </w:rPr>
            </w:pPr>
          </w:p>
        </w:tc>
      </w:tr>
    </w:tbl>
    <w:p w:rsidR="00EF4817" w:rsidRPr="004B79A8" w:rsidRDefault="00EF4817" w:rsidP="00DC33EB">
      <w:pPr>
        <w:spacing w:before="0" w:after="0"/>
        <w:jc w:val="both"/>
        <w:rPr>
          <w:rFonts w:ascii="Arial" w:hAnsi="Arial" w:cs="Arial"/>
          <w:sz w:val="24"/>
          <w:lang w:val="en-AU"/>
        </w:rPr>
      </w:pPr>
    </w:p>
    <w:p w:rsidR="00EF4817" w:rsidRPr="004B79A8" w:rsidRDefault="00EF4817" w:rsidP="00DC33EB">
      <w:pPr>
        <w:spacing w:before="0" w:after="0"/>
        <w:jc w:val="both"/>
        <w:rPr>
          <w:rFonts w:ascii="Arial" w:hAnsi="Arial" w:cs="Arial"/>
          <w:sz w:val="24"/>
          <w:lang w:val="en-AU"/>
        </w:rPr>
      </w:pPr>
    </w:p>
    <w:p w:rsidR="00EF4817" w:rsidRPr="004B79A8" w:rsidRDefault="00EF4817" w:rsidP="00DC33EB">
      <w:pPr>
        <w:spacing w:before="0" w:after="0"/>
        <w:jc w:val="both"/>
        <w:rPr>
          <w:rFonts w:ascii="Arial" w:hAnsi="Arial" w:cs="Arial"/>
          <w:sz w:val="24"/>
          <w:lang w:val="en-AU"/>
        </w:rPr>
      </w:pPr>
    </w:p>
    <w:p w:rsidR="00EF4817" w:rsidRPr="004B79A8" w:rsidRDefault="00EF4817" w:rsidP="00DC33EB">
      <w:pPr>
        <w:spacing w:before="0" w:after="0"/>
        <w:jc w:val="both"/>
        <w:rPr>
          <w:rFonts w:ascii="Arial" w:hAnsi="Arial" w:cs="Arial"/>
          <w:sz w:val="24"/>
          <w:lang w:val="en-AU"/>
        </w:rPr>
      </w:pPr>
    </w:p>
    <w:p w:rsidR="00EF4817" w:rsidRPr="004B79A8" w:rsidRDefault="00EF4817" w:rsidP="00DC33EB">
      <w:pPr>
        <w:spacing w:before="0" w:after="0"/>
        <w:jc w:val="both"/>
        <w:rPr>
          <w:rFonts w:ascii="Arial" w:hAnsi="Arial" w:cs="Arial"/>
          <w:sz w:val="24"/>
          <w:lang w:val="en-AU"/>
        </w:rPr>
      </w:pPr>
    </w:p>
    <w:p w:rsidR="00EF4817" w:rsidRPr="004B79A8" w:rsidRDefault="00EF4817" w:rsidP="00DC33EB">
      <w:pPr>
        <w:spacing w:before="0" w:after="0"/>
        <w:jc w:val="both"/>
        <w:rPr>
          <w:rFonts w:ascii="Arial" w:hAnsi="Arial" w:cs="Arial"/>
          <w:sz w:val="24"/>
          <w:lang w:val="en-AU"/>
        </w:rPr>
      </w:pPr>
    </w:p>
    <w:p w:rsidR="00EF4817" w:rsidRPr="004B79A8" w:rsidRDefault="00EF4817" w:rsidP="00DC33EB">
      <w:pPr>
        <w:spacing w:before="0" w:after="0"/>
        <w:jc w:val="both"/>
        <w:rPr>
          <w:rFonts w:ascii="Arial" w:hAnsi="Arial" w:cs="Arial"/>
          <w:sz w:val="24"/>
          <w:lang w:val="en-AU"/>
        </w:rPr>
      </w:pPr>
    </w:p>
    <w:p w:rsidR="00EF4817" w:rsidRPr="004B79A8" w:rsidRDefault="00EF4817" w:rsidP="00DC33EB">
      <w:pPr>
        <w:spacing w:before="0" w:after="0"/>
        <w:jc w:val="both"/>
        <w:rPr>
          <w:rFonts w:ascii="Arial" w:hAnsi="Arial" w:cs="Arial"/>
          <w:sz w:val="24"/>
          <w:lang w:val="en-AU"/>
        </w:rPr>
      </w:pPr>
      <w:r w:rsidRPr="004B79A8">
        <w:rPr>
          <w:rFonts w:ascii="Arial" w:hAnsi="Arial" w:cs="Arial"/>
          <w:sz w:val="24"/>
          <w:lang w:val="en-AU"/>
        </w:rPr>
        <w:t>REVISION RECORD</w:t>
      </w:r>
    </w:p>
    <w:p w:rsidR="00EF4817" w:rsidRPr="004B79A8" w:rsidRDefault="00EF4817" w:rsidP="00DC33EB">
      <w:pPr>
        <w:spacing w:before="0" w:after="0"/>
        <w:jc w:val="both"/>
        <w:rPr>
          <w:rFonts w:ascii="Arial" w:hAnsi="Arial" w:cs="Arial"/>
          <w:sz w:val="24"/>
          <w:lang w:val="en-AU"/>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495"/>
        <w:gridCol w:w="1404"/>
        <w:gridCol w:w="5741"/>
      </w:tblGrid>
      <w:tr w:rsidR="00EF4817" w:rsidRPr="004B79A8" w:rsidTr="00D0617B">
        <w:tc>
          <w:tcPr>
            <w:tcW w:w="1526" w:type="dxa"/>
          </w:tcPr>
          <w:p w:rsidR="00EF4817" w:rsidRPr="004B79A8" w:rsidRDefault="00EF4817" w:rsidP="00DC33EB">
            <w:pPr>
              <w:spacing w:before="0" w:after="0"/>
              <w:jc w:val="both"/>
              <w:rPr>
                <w:rFonts w:ascii="Arial" w:hAnsi="Arial" w:cs="Arial"/>
                <w:b/>
                <w:sz w:val="24"/>
              </w:rPr>
            </w:pPr>
            <w:r w:rsidRPr="004B79A8">
              <w:rPr>
                <w:rFonts w:ascii="Arial" w:hAnsi="Arial" w:cs="Arial"/>
                <w:b/>
                <w:sz w:val="24"/>
              </w:rPr>
              <w:t>Date</w:t>
            </w:r>
          </w:p>
        </w:tc>
        <w:tc>
          <w:tcPr>
            <w:tcW w:w="1417" w:type="dxa"/>
          </w:tcPr>
          <w:p w:rsidR="00EF4817" w:rsidRPr="004B79A8" w:rsidRDefault="00EF4817" w:rsidP="00DC33EB">
            <w:pPr>
              <w:spacing w:before="0" w:after="0"/>
              <w:jc w:val="both"/>
              <w:rPr>
                <w:rFonts w:ascii="Arial" w:hAnsi="Arial" w:cs="Arial"/>
                <w:b/>
                <w:sz w:val="24"/>
              </w:rPr>
            </w:pPr>
            <w:r w:rsidRPr="004B79A8">
              <w:rPr>
                <w:rFonts w:ascii="Arial" w:hAnsi="Arial" w:cs="Arial"/>
                <w:b/>
                <w:sz w:val="24"/>
              </w:rPr>
              <w:t>Version</w:t>
            </w:r>
          </w:p>
        </w:tc>
        <w:tc>
          <w:tcPr>
            <w:tcW w:w="5913" w:type="dxa"/>
          </w:tcPr>
          <w:p w:rsidR="00EF4817" w:rsidRPr="004B79A8" w:rsidRDefault="00EF4817" w:rsidP="00DC33EB">
            <w:pPr>
              <w:spacing w:before="0" w:after="0"/>
              <w:jc w:val="both"/>
              <w:rPr>
                <w:rFonts w:ascii="Arial" w:hAnsi="Arial" w:cs="Arial"/>
                <w:b/>
                <w:sz w:val="24"/>
              </w:rPr>
            </w:pPr>
            <w:r w:rsidRPr="004B79A8">
              <w:rPr>
                <w:rFonts w:ascii="Arial" w:hAnsi="Arial" w:cs="Arial"/>
                <w:b/>
                <w:sz w:val="24"/>
              </w:rPr>
              <w:t>Revision Description</w:t>
            </w:r>
          </w:p>
        </w:tc>
      </w:tr>
      <w:tr w:rsidR="00EF4817" w:rsidRPr="004B79A8" w:rsidTr="00D0617B">
        <w:tc>
          <w:tcPr>
            <w:tcW w:w="1526" w:type="dxa"/>
          </w:tcPr>
          <w:p w:rsidR="00EF4817" w:rsidRPr="004B79A8" w:rsidRDefault="00EF4817" w:rsidP="00DC33EB">
            <w:pPr>
              <w:spacing w:before="0" w:after="0"/>
              <w:jc w:val="both"/>
              <w:rPr>
                <w:rFonts w:ascii="Arial" w:hAnsi="Arial" w:cs="Arial"/>
                <w:sz w:val="24"/>
              </w:rPr>
            </w:pPr>
          </w:p>
        </w:tc>
        <w:tc>
          <w:tcPr>
            <w:tcW w:w="1417" w:type="dxa"/>
          </w:tcPr>
          <w:p w:rsidR="00EF4817" w:rsidRPr="004B79A8" w:rsidRDefault="00EF4817" w:rsidP="00DC33EB">
            <w:pPr>
              <w:spacing w:before="0" w:after="0"/>
              <w:jc w:val="both"/>
              <w:rPr>
                <w:rFonts w:ascii="Arial" w:hAnsi="Arial" w:cs="Arial"/>
                <w:sz w:val="24"/>
              </w:rPr>
            </w:pPr>
          </w:p>
        </w:tc>
        <w:tc>
          <w:tcPr>
            <w:tcW w:w="5913" w:type="dxa"/>
          </w:tcPr>
          <w:p w:rsidR="00EF4817" w:rsidRPr="004B79A8" w:rsidRDefault="00EF4817" w:rsidP="00DC33EB">
            <w:pPr>
              <w:spacing w:before="0" w:after="0"/>
              <w:jc w:val="both"/>
              <w:rPr>
                <w:rFonts w:ascii="Arial" w:hAnsi="Arial" w:cs="Arial"/>
                <w:sz w:val="24"/>
              </w:rPr>
            </w:pPr>
          </w:p>
        </w:tc>
      </w:tr>
      <w:tr w:rsidR="00EF4817" w:rsidRPr="004B79A8" w:rsidTr="00D0617B">
        <w:tc>
          <w:tcPr>
            <w:tcW w:w="1526" w:type="dxa"/>
          </w:tcPr>
          <w:p w:rsidR="00EF4817" w:rsidRPr="004B79A8" w:rsidRDefault="00EF4817" w:rsidP="00DC33EB">
            <w:pPr>
              <w:spacing w:before="0" w:after="0"/>
              <w:jc w:val="both"/>
              <w:rPr>
                <w:rFonts w:ascii="Arial" w:hAnsi="Arial" w:cs="Arial"/>
                <w:sz w:val="24"/>
              </w:rPr>
            </w:pPr>
          </w:p>
        </w:tc>
        <w:tc>
          <w:tcPr>
            <w:tcW w:w="1417" w:type="dxa"/>
          </w:tcPr>
          <w:p w:rsidR="00EF4817" w:rsidRPr="004B79A8" w:rsidRDefault="00EF4817" w:rsidP="00DC33EB">
            <w:pPr>
              <w:spacing w:before="0" w:after="0"/>
              <w:jc w:val="both"/>
              <w:rPr>
                <w:rFonts w:ascii="Arial" w:hAnsi="Arial" w:cs="Arial"/>
                <w:sz w:val="24"/>
              </w:rPr>
            </w:pPr>
          </w:p>
        </w:tc>
        <w:tc>
          <w:tcPr>
            <w:tcW w:w="5913" w:type="dxa"/>
          </w:tcPr>
          <w:p w:rsidR="00EF4817" w:rsidRPr="004B79A8" w:rsidRDefault="00EF4817" w:rsidP="00DC33EB">
            <w:pPr>
              <w:spacing w:before="0" w:after="0"/>
              <w:jc w:val="both"/>
              <w:rPr>
                <w:rFonts w:ascii="Arial" w:hAnsi="Arial" w:cs="Arial"/>
                <w:sz w:val="24"/>
              </w:rPr>
            </w:pPr>
          </w:p>
        </w:tc>
      </w:tr>
      <w:tr w:rsidR="00EF4817" w:rsidRPr="004B79A8" w:rsidTr="00D0617B">
        <w:tc>
          <w:tcPr>
            <w:tcW w:w="1526" w:type="dxa"/>
          </w:tcPr>
          <w:p w:rsidR="00EF4817" w:rsidRPr="004B79A8" w:rsidRDefault="00EF4817" w:rsidP="00DC33EB">
            <w:pPr>
              <w:spacing w:before="0" w:after="0"/>
              <w:jc w:val="both"/>
              <w:rPr>
                <w:rFonts w:ascii="Arial" w:hAnsi="Arial" w:cs="Arial"/>
                <w:sz w:val="24"/>
              </w:rPr>
            </w:pPr>
          </w:p>
        </w:tc>
        <w:tc>
          <w:tcPr>
            <w:tcW w:w="1417" w:type="dxa"/>
          </w:tcPr>
          <w:p w:rsidR="00EF4817" w:rsidRPr="004B79A8" w:rsidRDefault="00EF4817" w:rsidP="00DC33EB">
            <w:pPr>
              <w:spacing w:before="0" w:after="0"/>
              <w:jc w:val="both"/>
              <w:rPr>
                <w:rFonts w:ascii="Arial" w:hAnsi="Arial" w:cs="Arial"/>
                <w:sz w:val="24"/>
              </w:rPr>
            </w:pPr>
          </w:p>
        </w:tc>
        <w:tc>
          <w:tcPr>
            <w:tcW w:w="5913" w:type="dxa"/>
          </w:tcPr>
          <w:p w:rsidR="00EF4817" w:rsidRPr="004B79A8" w:rsidRDefault="00EF4817" w:rsidP="00DC33EB">
            <w:pPr>
              <w:spacing w:before="0" w:after="0"/>
              <w:jc w:val="both"/>
              <w:rPr>
                <w:rFonts w:ascii="Arial" w:hAnsi="Arial" w:cs="Arial"/>
                <w:sz w:val="24"/>
              </w:rPr>
            </w:pPr>
          </w:p>
        </w:tc>
      </w:tr>
      <w:tr w:rsidR="00EF4817" w:rsidRPr="004B79A8" w:rsidTr="00D0617B">
        <w:tc>
          <w:tcPr>
            <w:tcW w:w="1526" w:type="dxa"/>
          </w:tcPr>
          <w:p w:rsidR="00EF4817" w:rsidRPr="004B79A8" w:rsidRDefault="00EF4817" w:rsidP="00DC33EB">
            <w:pPr>
              <w:spacing w:before="0" w:after="0"/>
              <w:jc w:val="both"/>
              <w:rPr>
                <w:rFonts w:ascii="Arial" w:hAnsi="Arial" w:cs="Arial"/>
                <w:sz w:val="24"/>
              </w:rPr>
            </w:pPr>
          </w:p>
        </w:tc>
        <w:tc>
          <w:tcPr>
            <w:tcW w:w="1417" w:type="dxa"/>
          </w:tcPr>
          <w:p w:rsidR="00EF4817" w:rsidRPr="004B79A8" w:rsidRDefault="00EF4817" w:rsidP="00DC33EB">
            <w:pPr>
              <w:spacing w:before="0" w:after="0"/>
              <w:jc w:val="both"/>
              <w:rPr>
                <w:rFonts w:ascii="Arial" w:hAnsi="Arial" w:cs="Arial"/>
                <w:sz w:val="24"/>
              </w:rPr>
            </w:pPr>
          </w:p>
        </w:tc>
        <w:tc>
          <w:tcPr>
            <w:tcW w:w="5913" w:type="dxa"/>
          </w:tcPr>
          <w:p w:rsidR="00EF4817" w:rsidRPr="004B79A8" w:rsidRDefault="00EF4817" w:rsidP="00DC33EB">
            <w:pPr>
              <w:spacing w:before="0" w:after="0"/>
              <w:jc w:val="both"/>
              <w:rPr>
                <w:rFonts w:ascii="Arial" w:hAnsi="Arial" w:cs="Arial"/>
                <w:sz w:val="24"/>
              </w:rPr>
            </w:pPr>
          </w:p>
        </w:tc>
      </w:tr>
    </w:tbl>
    <w:p w:rsidR="00EF4817" w:rsidRPr="004B79A8" w:rsidRDefault="00EF4817" w:rsidP="00DC33EB">
      <w:pPr>
        <w:spacing w:before="0" w:after="200" w:line="276" w:lineRule="auto"/>
        <w:jc w:val="both"/>
        <w:rPr>
          <w:rFonts w:ascii="Arial" w:hAnsi="Arial" w:cs="Arial"/>
          <w:sz w:val="24"/>
          <w:lang w:val="en-AU" w:eastAsia="en-AU"/>
        </w:rPr>
        <w:sectPr w:rsidR="00EF4817" w:rsidRPr="004B79A8" w:rsidSect="00312335">
          <w:headerReference w:type="default" r:id="rId9"/>
          <w:footerReference w:type="default" r:id="rId10"/>
          <w:headerReference w:type="first" r:id="rId11"/>
          <w:pgSz w:w="12240" w:h="15840"/>
          <w:pgMar w:top="1440" w:right="1800" w:bottom="1440" w:left="1800" w:header="1361" w:footer="737" w:gutter="0"/>
          <w:pgNumType w:start="1"/>
          <w:cols w:space="720"/>
          <w:titlePg/>
          <w:docGrid w:linePitch="299"/>
        </w:sectPr>
      </w:pPr>
    </w:p>
    <w:p w:rsidR="00EF4817" w:rsidRPr="004B79A8" w:rsidRDefault="00EF4817" w:rsidP="00DC33EB">
      <w:pPr>
        <w:jc w:val="both"/>
        <w:rPr>
          <w:rFonts w:ascii="Arial" w:hAnsi="Arial" w:cs="Arial"/>
          <w:sz w:val="24"/>
          <w:lang w:val="en-AU" w:eastAsia="en-AU"/>
        </w:rPr>
      </w:pPr>
    </w:p>
    <w:p w:rsidR="00EF4817" w:rsidRPr="004B79A8" w:rsidRDefault="00EF4817" w:rsidP="00DC33EB">
      <w:pPr>
        <w:pStyle w:val="Title"/>
        <w:jc w:val="both"/>
        <w:rPr>
          <w:rFonts w:ascii="Arial" w:hAnsi="Arial" w:cs="Arial"/>
          <w:sz w:val="24"/>
          <w:szCs w:val="24"/>
          <w:lang w:val="en-AU" w:eastAsia="en-AU"/>
        </w:rPr>
      </w:pPr>
      <w:r w:rsidRPr="004B79A8">
        <w:rPr>
          <w:rFonts w:ascii="Arial" w:hAnsi="Arial" w:cs="Arial"/>
          <w:sz w:val="24"/>
          <w:szCs w:val="24"/>
          <w:lang w:val="en-AU" w:eastAsia="en-AU"/>
        </w:rPr>
        <w:t>Table of Contents</w:t>
      </w:r>
    </w:p>
    <w:p w:rsidR="00144891" w:rsidRDefault="00E77666">
      <w:pPr>
        <w:pStyle w:val="TOC1"/>
        <w:tabs>
          <w:tab w:val="right" w:leader="dot" w:pos="8630"/>
        </w:tabs>
        <w:rPr>
          <w:rFonts w:asciiTheme="minorHAnsi" w:eastAsiaTheme="minorEastAsia" w:hAnsiTheme="minorHAnsi" w:cstheme="minorBidi"/>
          <w:noProof/>
          <w:sz w:val="22"/>
          <w:szCs w:val="22"/>
        </w:rPr>
      </w:pPr>
      <w:r w:rsidRPr="004B79A8">
        <w:rPr>
          <w:rFonts w:cs="Arial"/>
          <w:sz w:val="24"/>
          <w:szCs w:val="24"/>
        </w:rPr>
        <w:fldChar w:fldCharType="begin"/>
      </w:r>
      <w:r w:rsidR="00EF4817" w:rsidRPr="004B79A8">
        <w:rPr>
          <w:rFonts w:cs="Arial"/>
          <w:sz w:val="24"/>
          <w:szCs w:val="24"/>
        </w:rPr>
        <w:instrText xml:space="preserve"> TOC \o "1-3" \h \z \u </w:instrText>
      </w:r>
      <w:r w:rsidRPr="004B79A8">
        <w:rPr>
          <w:rFonts w:cs="Arial"/>
          <w:sz w:val="24"/>
          <w:szCs w:val="24"/>
        </w:rPr>
        <w:fldChar w:fldCharType="separate"/>
      </w:r>
      <w:hyperlink w:anchor="_Toc446579044" w:history="1">
        <w:r w:rsidR="00144891" w:rsidRPr="00433890">
          <w:rPr>
            <w:rStyle w:val="Hyperlink"/>
            <w:rFonts w:cs="Arial"/>
            <w:noProof/>
          </w:rPr>
          <w:t>Introduction</w:t>
        </w:r>
        <w:r w:rsidR="00144891">
          <w:rPr>
            <w:noProof/>
            <w:webHidden/>
          </w:rPr>
          <w:tab/>
        </w:r>
        <w:r w:rsidR="00144891">
          <w:rPr>
            <w:noProof/>
            <w:webHidden/>
          </w:rPr>
          <w:fldChar w:fldCharType="begin"/>
        </w:r>
        <w:r w:rsidR="00144891">
          <w:rPr>
            <w:noProof/>
            <w:webHidden/>
          </w:rPr>
          <w:instrText xml:space="preserve"> PAGEREF _Toc446579044 \h </w:instrText>
        </w:r>
        <w:r w:rsidR="00144891">
          <w:rPr>
            <w:noProof/>
            <w:webHidden/>
          </w:rPr>
        </w:r>
        <w:r w:rsidR="00144891">
          <w:rPr>
            <w:noProof/>
            <w:webHidden/>
          </w:rPr>
          <w:fldChar w:fldCharType="separate"/>
        </w:r>
        <w:r w:rsidR="00144891">
          <w:rPr>
            <w:noProof/>
            <w:webHidden/>
          </w:rPr>
          <w:t>1</w:t>
        </w:r>
        <w:r w:rsidR="00144891">
          <w:rPr>
            <w:noProof/>
            <w:webHidden/>
          </w:rPr>
          <w:fldChar w:fldCharType="end"/>
        </w:r>
      </w:hyperlink>
    </w:p>
    <w:p w:rsidR="00144891" w:rsidRDefault="00FC7DDE">
      <w:pPr>
        <w:pStyle w:val="TOC1"/>
        <w:tabs>
          <w:tab w:val="right" w:leader="dot" w:pos="8630"/>
        </w:tabs>
        <w:rPr>
          <w:rFonts w:asciiTheme="minorHAnsi" w:eastAsiaTheme="minorEastAsia" w:hAnsiTheme="minorHAnsi" w:cstheme="minorBidi"/>
          <w:noProof/>
          <w:sz w:val="22"/>
          <w:szCs w:val="22"/>
        </w:rPr>
      </w:pPr>
      <w:hyperlink w:anchor="_Toc446579045" w:history="1">
        <w:r w:rsidR="00144891" w:rsidRPr="00433890">
          <w:rPr>
            <w:rStyle w:val="Hyperlink"/>
            <w:rFonts w:cs="Arial"/>
            <w:iCs/>
            <w:noProof/>
          </w:rPr>
          <w:t>Responsibilities</w:t>
        </w:r>
        <w:r w:rsidR="00144891">
          <w:rPr>
            <w:noProof/>
            <w:webHidden/>
          </w:rPr>
          <w:tab/>
        </w:r>
        <w:r w:rsidR="00144891">
          <w:rPr>
            <w:noProof/>
            <w:webHidden/>
          </w:rPr>
          <w:fldChar w:fldCharType="begin"/>
        </w:r>
        <w:r w:rsidR="00144891">
          <w:rPr>
            <w:noProof/>
            <w:webHidden/>
          </w:rPr>
          <w:instrText xml:space="preserve"> PAGEREF _Toc446579045 \h </w:instrText>
        </w:r>
        <w:r w:rsidR="00144891">
          <w:rPr>
            <w:noProof/>
            <w:webHidden/>
          </w:rPr>
        </w:r>
        <w:r w:rsidR="00144891">
          <w:rPr>
            <w:noProof/>
            <w:webHidden/>
          </w:rPr>
          <w:fldChar w:fldCharType="separate"/>
        </w:r>
        <w:r w:rsidR="00144891">
          <w:rPr>
            <w:noProof/>
            <w:webHidden/>
          </w:rPr>
          <w:t>2</w:t>
        </w:r>
        <w:r w:rsidR="00144891">
          <w:rPr>
            <w:noProof/>
            <w:webHidden/>
          </w:rPr>
          <w:fldChar w:fldCharType="end"/>
        </w:r>
      </w:hyperlink>
    </w:p>
    <w:p w:rsidR="00144891" w:rsidRDefault="00FC7DDE">
      <w:pPr>
        <w:pStyle w:val="TOC1"/>
        <w:tabs>
          <w:tab w:val="right" w:leader="dot" w:pos="8630"/>
        </w:tabs>
        <w:rPr>
          <w:rFonts w:asciiTheme="minorHAnsi" w:eastAsiaTheme="minorEastAsia" w:hAnsiTheme="minorHAnsi" w:cstheme="minorBidi"/>
          <w:noProof/>
          <w:sz w:val="22"/>
          <w:szCs w:val="22"/>
        </w:rPr>
      </w:pPr>
      <w:hyperlink w:anchor="_Toc446579046" w:history="1">
        <w:r w:rsidR="00144891" w:rsidRPr="00433890">
          <w:rPr>
            <w:rStyle w:val="Hyperlink"/>
            <w:rFonts w:cs="Arial"/>
            <w:noProof/>
          </w:rPr>
          <w:t>Purpose</w:t>
        </w:r>
        <w:r w:rsidR="00144891">
          <w:rPr>
            <w:noProof/>
            <w:webHidden/>
          </w:rPr>
          <w:tab/>
        </w:r>
        <w:r w:rsidR="00144891">
          <w:rPr>
            <w:noProof/>
            <w:webHidden/>
          </w:rPr>
          <w:fldChar w:fldCharType="begin"/>
        </w:r>
        <w:r w:rsidR="00144891">
          <w:rPr>
            <w:noProof/>
            <w:webHidden/>
          </w:rPr>
          <w:instrText xml:space="preserve"> PAGEREF _Toc446579046 \h </w:instrText>
        </w:r>
        <w:r w:rsidR="00144891">
          <w:rPr>
            <w:noProof/>
            <w:webHidden/>
          </w:rPr>
        </w:r>
        <w:r w:rsidR="00144891">
          <w:rPr>
            <w:noProof/>
            <w:webHidden/>
          </w:rPr>
          <w:fldChar w:fldCharType="separate"/>
        </w:r>
        <w:r w:rsidR="00144891">
          <w:rPr>
            <w:noProof/>
            <w:webHidden/>
          </w:rPr>
          <w:t>3</w:t>
        </w:r>
        <w:r w:rsidR="00144891">
          <w:rPr>
            <w:noProof/>
            <w:webHidden/>
          </w:rPr>
          <w:fldChar w:fldCharType="end"/>
        </w:r>
      </w:hyperlink>
    </w:p>
    <w:p w:rsidR="00144891" w:rsidRDefault="00FC7DDE">
      <w:pPr>
        <w:pStyle w:val="TOC1"/>
        <w:tabs>
          <w:tab w:val="right" w:leader="dot" w:pos="8630"/>
        </w:tabs>
        <w:rPr>
          <w:rFonts w:asciiTheme="minorHAnsi" w:eastAsiaTheme="minorEastAsia" w:hAnsiTheme="minorHAnsi" w:cstheme="minorBidi"/>
          <w:noProof/>
          <w:sz w:val="22"/>
          <w:szCs w:val="22"/>
        </w:rPr>
      </w:pPr>
      <w:hyperlink w:anchor="_Toc446579047" w:history="1">
        <w:r w:rsidR="00144891" w:rsidRPr="00433890">
          <w:rPr>
            <w:rStyle w:val="Hyperlink"/>
            <w:rFonts w:cs="Arial"/>
            <w:noProof/>
          </w:rPr>
          <w:t>Scope</w:t>
        </w:r>
        <w:r w:rsidR="00144891">
          <w:rPr>
            <w:noProof/>
            <w:webHidden/>
          </w:rPr>
          <w:tab/>
        </w:r>
        <w:r w:rsidR="00144891">
          <w:rPr>
            <w:noProof/>
            <w:webHidden/>
          </w:rPr>
          <w:fldChar w:fldCharType="begin"/>
        </w:r>
        <w:r w:rsidR="00144891">
          <w:rPr>
            <w:noProof/>
            <w:webHidden/>
          </w:rPr>
          <w:instrText xml:space="preserve"> PAGEREF _Toc446579047 \h </w:instrText>
        </w:r>
        <w:r w:rsidR="00144891">
          <w:rPr>
            <w:noProof/>
            <w:webHidden/>
          </w:rPr>
        </w:r>
        <w:r w:rsidR="00144891">
          <w:rPr>
            <w:noProof/>
            <w:webHidden/>
          </w:rPr>
          <w:fldChar w:fldCharType="separate"/>
        </w:r>
        <w:r w:rsidR="00144891">
          <w:rPr>
            <w:noProof/>
            <w:webHidden/>
          </w:rPr>
          <w:t>3</w:t>
        </w:r>
        <w:r w:rsidR="00144891">
          <w:rPr>
            <w:noProof/>
            <w:webHidden/>
          </w:rPr>
          <w:fldChar w:fldCharType="end"/>
        </w:r>
      </w:hyperlink>
    </w:p>
    <w:p w:rsidR="00144891" w:rsidRDefault="00FC7DDE">
      <w:pPr>
        <w:pStyle w:val="TOC1"/>
        <w:tabs>
          <w:tab w:val="right" w:leader="dot" w:pos="8630"/>
        </w:tabs>
        <w:rPr>
          <w:rFonts w:asciiTheme="minorHAnsi" w:eastAsiaTheme="minorEastAsia" w:hAnsiTheme="minorHAnsi" w:cstheme="minorBidi"/>
          <w:noProof/>
          <w:sz w:val="22"/>
          <w:szCs w:val="22"/>
        </w:rPr>
      </w:pPr>
      <w:hyperlink w:anchor="_Toc446579048" w:history="1">
        <w:r w:rsidR="00144891" w:rsidRPr="00433890">
          <w:rPr>
            <w:rStyle w:val="Hyperlink"/>
            <w:rFonts w:cs="Arial"/>
            <w:noProof/>
          </w:rPr>
          <w:t>Policy Statement</w:t>
        </w:r>
        <w:r w:rsidR="00144891">
          <w:rPr>
            <w:noProof/>
            <w:webHidden/>
          </w:rPr>
          <w:tab/>
        </w:r>
        <w:r w:rsidR="00144891">
          <w:rPr>
            <w:noProof/>
            <w:webHidden/>
          </w:rPr>
          <w:fldChar w:fldCharType="begin"/>
        </w:r>
        <w:r w:rsidR="00144891">
          <w:rPr>
            <w:noProof/>
            <w:webHidden/>
          </w:rPr>
          <w:instrText xml:space="preserve"> PAGEREF _Toc446579048 \h </w:instrText>
        </w:r>
        <w:r w:rsidR="00144891">
          <w:rPr>
            <w:noProof/>
            <w:webHidden/>
          </w:rPr>
        </w:r>
        <w:r w:rsidR="00144891">
          <w:rPr>
            <w:noProof/>
            <w:webHidden/>
          </w:rPr>
          <w:fldChar w:fldCharType="separate"/>
        </w:r>
        <w:r w:rsidR="00144891">
          <w:rPr>
            <w:noProof/>
            <w:webHidden/>
          </w:rPr>
          <w:t>4</w:t>
        </w:r>
        <w:r w:rsidR="00144891">
          <w:rPr>
            <w:noProof/>
            <w:webHidden/>
          </w:rPr>
          <w:fldChar w:fldCharType="end"/>
        </w:r>
      </w:hyperlink>
    </w:p>
    <w:p w:rsidR="00144891" w:rsidRDefault="00FC7DDE">
      <w:pPr>
        <w:pStyle w:val="TOC1"/>
        <w:tabs>
          <w:tab w:val="right" w:leader="dot" w:pos="8630"/>
        </w:tabs>
        <w:rPr>
          <w:rFonts w:asciiTheme="minorHAnsi" w:eastAsiaTheme="minorEastAsia" w:hAnsiTheme="minorHAnsi" w:cstheme="minorBidi"/>
          <w:noProof/>
          <w:sz w:val="22"/>
          <w:szCs w:val="22"/>
        </w:rPr>
      </w:pPr>
      <w:hyperlink w:anchor="_Toc446579049" w:history="1">
        <w:r w:rsidR="00144891" w:rsidRPr="00433890">
          <w:rPr>
            <w:rStyle w:val="Hyperlink"/>
            <w:rFonts w:cs="Arial"/>
            <w:noProof/>
          </w:rPr>
          <w:t>Policy Commitments:</w:t>
        </w:r>
        <w:r w:rsidR="00144891">
          <w:rPr>
            <w:noProof/>
            <w:webHidden/>
          </w:rPr>
          <w:tab/>
        </w:r>
        <w:r w:rsidR="00144891">
          <w:rPr>
            <w:noProof/>
            <w:webHidden/>
          </w:rPr>
          <w:fldChar w:fldCharType="begin"/>
        </w:r>
        <w:r w:rsidR="00144891">
          <w:rPr>
            <w:noProof/>
            <w:webHidden/>
          </w:rPr>
          <w:instrText xml:space="preserve"> PAGEREF _Toc446579049 \h </w:instrText>
        </w:r>
        <w:r w:rsidR="00144891">
          <w:rPr>
            <w:noProof/>
            <w:webHidden/>
          </w:rPr>
        </w:r>
        <w:r w:rsidR="00144891">
          <w:rPr>
            <w:noProof/>
            <w:webHidden/>
          </w:rPr>
          <w:fldChar w:fldCharType="separate"/>
        </w:r>
        <w:r w:rsidR="00144891">
          <w:rPr>
            <w:noProof/>
            <w:webHidden/>
          </w:rPr>
          <w:t>4</w:t>
        </w:r>
        <w:r w:rsidR="00144891">
          <w:rPr>
            <w:noProof/>
            <w:webHidden/>
          </w:rPr>
          <w:fldChar w:fldCharType="end"/>
        </w:r>
      </w:hyperlink>
    </w:p>
    <w:p w:rsidR="00144891" w:rsidRDefault="00FC7DDE">
      <w:pPr>
        <w:pStyle w:val="TOC1"/>
        <w:tabs>
          <w:tab w:val="right" w:leader="dot" w:pos="8630"/>
        </w:tabs>
        <w:rPr>
          <w:rFonts w:asciiTheme="minorHAnsi" w:eastAsiaTheme="minorEastAsia" w:hAnsiTheme="minorHAnsi" w:cstheme="minorBidi"/>
          <w:noProof/>
          <w:sz w:val="22"/>
          <w:szCs w:val="22"/>
        </w:rPr>
      </w:pPr>
      <w:hyperlink w:anchor="_Toc446579050" w:history="1">
        <w:r w:rsidR="00144891" w:rsidRPr="00433890">
          <w:rPr>
            <w:rStyle w:val="Hyperlink"/>
            <w:rFonts w:cs="Arial"/>
            <w:noProof/>
          </w:rPr>
          <w:t>Framework For Action</w:t>
        </w:r>
        <w:r w:rsidR="00144891">
          <w:rPr>
            <w:noProof/>
            <w:webHidden/>
          </w:rPr>
          <w:tab/>
        </w:r>
        <w:r w:rsidR="00144891">
          <w:rPr>
            <w:noProof/>
            <w:webHidden/>
          </w:rPr>
          <w:fldChar w:fldCharType="begin"/>
        </w:r>
        <w:r w:rsidR="00144891">
          <w:rPr>
            <w:noProof/>
            <w:webHidden/>
          </w:rPr>
          <w:instrText xml:space="preserve"> PAGEREF _Toc446579050 \h </w:instrText>
        </w:r>
        <w:r w:rsidR="00144891">
          <w:rPr>
            <w:noProof/>
            <w:webHidden/>
          </w:rPr>
        </w:r>
        <w:r w:rsidR="00144891">
          <w:rPr>
            <w:noProof/>
            <w:webHidden/>
          </w:rPr>
          <w:fldChar w:fldCharType="separate"/>
        </w:r>
        <w:r w:rsidR="00144891">
          <w:rPr>
            <w:noProof/>
            <w:webHidden/>
          </w:rPr>
          <w:t>5</w:t>
        </w:r>
        <w:r w:rsidR="00144891">
          <w:rPr>
            <w:noProof/>
            <w:webHidden/>
          </w:rPr>
          <w:fldChar w:fldCharType="end"/>
        </w:r>
      </w:hyperlink>
    </w:p>
    <w:p w:rsidR="00144891" w:rsidRDefault="00FC7DDE">
      <w:pPr>
        <w:pStyle w:val="TOC1"/>
        <w:tabs>
          <w:tab w:val="right" w:leader="dot" w:pos="8630"/>
        </w:tabs>
        <w:rPr>
          <w:rFonts w:asciiTheme="minorHAnsi" w:eastAsiaTheme="minorEastAsia" w:hAnsiTheme="minorHAnsi" w:cstheme="minorBidi"/>
          <w:noProof/>
          <w:sz w:val="22"/>
          <w:szCs w:val="22"/>
        </w:rPr>
      </w:pPr>
      <w:hyperlink w:anchor="_Toc446579051" w:history="1">
        <w:r w:rsidR="00144891" w:rsidRPr="00433890">
          <w:rPr>
            <w:rStyle w:val="Hyperlink"/>
            <w:rFonts w:cs="Arial"/>
            <w:iCs/>
            <w:noProof/>
          </w:rPr>
          <w:t>Key Stakeholders</w:t>
        </w:r>
        <w:r w:rsidR="00144891">
          <w:rPr>
            <w:noProof/>
            <w:webHidden/>
          </w:rPr>
          <w:tab/>
        </w:r>
        <w:r w:rsidR="00144891">
          <w:rPr>
            <w:noProof/>
            <w:webHidden/>
          </w:rPr>
          <w:fldChar w:fldCharType="begin"/>
        </w:r>
        <w:r w:rsidR="00144891">
          <w:rPr>
            <w:noProof/>
            <w:webHidden/>
          </w:rPr>
          <w:instrText xml:space="preserve"> PAGEREF _Toc446579051 \h </w:instrText>
        </w:r>
        <w:r w:rsidR="00144891">
          <w:rPr>
            <w:noProof/>
            <w:webHidden/>
          </w:rPr>
        </w:r>
        <w:r w:rsidR="00144891">
          <w:rPr>
            <w:noProof/>
            <w:webHidden/>
          </w:rPr>
          <w:fldChar w:fldCharType="separate"/>
        </w:r>
        <w:r w:rsidR="00144891">
          <w:rPr>
            <w:noProof/>
            <w:webHidden/>
          </w:rPr>
          <w:t>7</w:t>
        </w:r>
        <w:r w:rsidR="00144891">
          <w:rPr>
            <w:noProof/>
            <w:webHidden/>
          </w:rPr>
          <w:fldChar w:fldCharType="end"/>
        </w:r>
      </w:hyperlink>
    </w:p>
    <w:p w:rsidR="00144891" w:rsidRDefault="00FC7DDE">
      <w:pPr>
        <w:pStyle w:val="TOC1"/>
        <w:tabs>
          <w:tab w:val="right" w:leader="dot" w:pos="8630"/>
        </w:tabs>
        <w:rPr>
          <w:rFonts w:asciiTheme="minorHAnsi" w:eastAsiaTheme="minorEastAsia" w:hAnsiTheme="minorHAnsi" w:cstheme="minorBidi"/>
          <w:noProof/>
          <w:sz w:val="22"/>
          <w:szCs w:val="22"/>
        </w:rPr>
      </w:pPr>
      <w:hyperlink w:anchor="_Toc446579052" w:history="1">
        <w:r w:rsidR="00144891" w:rsidRPr="00433890">
          <w:rPr>
            <w:rStyle w:val="Hyperlink"/>
            <w:rFonts w:cs="Arial"/>
            <w:iCs/>
            <w:noProof/>
          </w:rPr>
          <w:t>Related Legislation</w:t>
        </w:r>
        <w:r w:rsidR="00144891">
          <w:rPr>
            <w:noProof/>
            <w:webHidden/>
          </w:rPr>
          <w:tab/>
        </w:r>
        <w:r w:rsidR="00144891">
          <w:rPr>
            <w:noProof/>
            <w:webHidden/>
          </w:rPr>
          <w:fldChar w:fldCharType="begin"/>
        </w:r>
        <w:r w:rsidR="00144891">
          <w:rPr>
            <w:noProof/>
            <w:webHidden/>
          </w:rPr>
          <w:instrText xml:space="preserve"> PAGEREF _Toc446579052 \h </w:instrText>
        </w:r>
        <w:r w:rsidR="00144891">
          <w:rPr>
            <w:noProof/>
            <w:webHidden/>
          </w:rPr>
        </w:r>
        <w:r w:rsidR="00144891">
          <w:rPr>
            <w:noProof/>
            <w:webHidden/>
          </w:rPr>
          <w:fldChar w:fldCharType="separate"/>
        </w:r>
        <w:r w:rsidR="00144891">
          <w:rPr>
            <w:noProof/>
            <w:webHidden/>
          </w:rPr>
          <w:t>7</w:t>
        </w:r>
        <w:r w:rsidR="00144891">
          <w:rPr>
            <w:noProof/>
            <w:webHidden/>
          </w:rPr>
          <w:fldChar w:fldCharType="end"/>
        </w:r>
      </w:hyperlink>
    </w:p>
    <w:p w:rsidR="00144891" w:rsidRDefault="00FC7DDE">
      <w:pPr>
        <w:pStyle w:val="TOC1"/>
        <w:tabs>
          <w:tab w:val="right" w:leader="dot" w:pos="8630"/>
        </w:tabs>
        <w:rPr>
          <w:rFonts w:asciiTheme="minorHAnsi" w:eastAsiaTheme="minorEastAsia" w:hAnsiTheme="minorHAnsi" w:cstheme="minorBidi"/>
          <w:noProof/>
          <w:sz w:val="22"/>
          <w:szCs w:val="22"/>
        </w:rPr>
      </w:pPr>
      <w:hyperlink w:anchor="_Toc446579053" w:history="1">
        <w:r w:rsidR="00144891" w:rsidRPr="00433890">
          <w:rPr>
            <w:rStyle w:val="Hyperlink"/>
            <w:rFonts w:cs="Arial"/>
            <w:iCs/>
            <w:noProof/>
          </w:rPr>
          <w:t>Related Documents</w:t>
        </w:r>
        <w:r w:rsidR="00144891">
          <w:rPr>
            <w:noProof/>
            <w:webHidden/>
          </w:rPr>
          <w:tab/>
        </w:r>
        <w:r w:rsidR="00144891">
          <w:rPr>
            <w:noProof/>
            <w:webHidden/>
          </w:rPr>
          <w:fldChar w:fldCharType="begin"/>
        </w:r>
        <w:r w:rsidR="00144891">
          <w:rPr>
            <w:noProof/>
            <w:webHidden/>
          </w:rPr>
          <w:instrText xml:space="preserve"> PAGEREF _Toc446579053 \h </w:instrText>
        </w:r>
        <w:r w:rsidR="00144891">
          <w:rPr>
            <w:noProof/>
            <w:webHidden/>
          </w:rPr>
        </w:r>
        <w:r w:rsidR="00144891">
          <w:rPr>
            <w:noProof/>
            <w:webHidden/>
          </w:rPr>
          <w:fldChar w:fldCharType="separate"/>
        </w:r>
        <w:r w:rsidR="00144891">
          <w:rPr>
            <w:noProof/>
            <w:webHidden/>
          </w:rPr>
          <w:t>8</w:t>
        </w:r>
        <w:r w:rsidR="00144891">
          <w:rPr>
            <w:noProof/>
            <w:webHidden/>
          </w:rPr>
          <w:fldChar w:fldCharType="end"/>
        </w:r>
      </w:hyperlink>
    </w:p>
    <w:p w:rsidR="00144891" w:rsidRDefault="00FC7DDE">
      <w:pPr>
        <w:pStyle w:val="TOC1"/>
        <w:tabs>
          <w:tab w:val="right" w:leader="dot" w:pos="8630"/>
        </w:tabs>
        <w:rPr>
          <w:rFonts w:asciiTheme="minorHAnsi" w:eastAsiaTheme="minorEastAsia" w:hAnsiTheme="minorHAnsi" w:cstheme="minorBidi"/>
          <w:noProof/>
          <w:sz w:val="22"/>
          <w:szCs w:val="22"/>
        </w:rPr>
      </w:pPr>
      <w:hyperlink w:anchor="_Toc446579054" w:history="1">
        <w:r w:rsidR="00144891" w:rsidRPr="00433890">
          <w:rPr>
            <w:rStyle w:val="Hyperlink"/>
            <w:rFonts w:cs="Arial"/>
            <w:iCs/>
            <w:noProof/>
          </w:rPr>
          <w:t>Review of Policy</w:t>
        </w:r>
        <w:r w:rsidR="00144891">
          <w:rPr>
            <w:noProof/>
            <w:webHidden/>
          </w:rPr>
          <w:tab/>
        </w:r>
        <w:r w:rsidR="00144891">
          <w:rPr>
            <w:noProof/>
            <w:webHidden/>
          </w:rPr>
          <w:fldChar w:fldCharType="begin"/>
        </w:r>
        <w:r w:rsidR="00144891">
          <w:rPr>
            <w:noProof/>
            <w:webHidden/>
          </w:rPr>
          <w:instrText xml:space="preserve"> PAGEREF _Toc446579054 \h </w:instrText>
        </w:r>
        <w:r w:rsidR="00144891">
          <w:rPr>
            <w:noProof/>
            <w:webHidden/>
          </w:rPr>
        </w:r>
        <w:r w:rsidR="00144891">
          <w:rPr>
            <w:noProof/>
            <w:webHidden/>
          </w:rPr>
          <w:fldChar w:fldCharType="separate"/>
        </w:r>
        <w:r w:rsidR="00144891">
          <w:rPr>
            <w:noProof/>
            <w:webHidden/>
          </w:rPr>
          <w:t>8</w:t>
        </w:r>
        <w:r w:rsidR="00144891">
          <w:rPr>
            <w:noProof/>
            <w:webHidden/>
          </w:rPr>
          <w:fldChar w:fldCharType="end"/>
        </w:r>
      </w:hyperlink>
    </w:p>
    <w:p w:rsidR="00144891" w:rsidRDefault="00FC7DDE">
      <w:pPr>
        <w:pStyle w:val="TOC1"/>
        <w:tabs>
          <w:tab w:val="right" w:leader="dot" w:pos="8630"/>
        </w:tabs>
        <w:rPr>
          <w:rFonts w:asciiTheme="minorHAnsi" w:eastAsiaTheme="minorEastAsia" w:hAnsiTheme="minorHAnsi" w:cstheme="minorBidi"/>
          <w:noProof/>
          <w:sz w:val="22"/>
          <w:szCs w:val="22"/>
        </w:rPr>
      </w:pPr>
      <w:hyperlink w:anchor="_Toc446579055" w:history="1">
        <w:r w:rsidR="00144891" w:rsidRPr="00433890">
          <w:rPr>
            <w:rStyle w:val="Hyperlink"/>
            <w:rFonts w:cs="Arial"/>
            <w:iCs/>
            <w:noProof/>
          </w:rPr>
          <w:t>Definitions</w:t>
        </w:r>
        <w:r w:rsidR="00144891">
          <w:rPr>
            <w:noProof/>
            <w:webHidden/>
          </w:rPr>
          <w:tab/>
        </w:r>
        <w:r w:rsidR="00144891">
          <w:rPr>
            <w:noProof/>
            <w:webHidden/>
          </w:rPr>
          <w:fldChar w:fldCharType="begin"/>
        </w:r>
        <w:r w:rsidR="00144891">
          <w:rPr>
            <w:noProof/>
            <w:webHidden/>
          </w:rPr>
          <w:instrText xml:space="preserve"> PAGEREF _Toc446579055 \h </w:instrText>
        </w:r>
        <w:r w:rsidR="00144891">
          <w:rPr>
            <w:noProof/>
            <w:webHidden/>
          </w:rPr>
        </w:r>
        <w:r w:rsidR="00144891">
          <w:rPr>
            <w:noProof/>
            <w:webHidden/>
          </w:rPr>
          <w:fldChar w:fldCharType="separate"/>
        </w:r>
        <w:r w:rsidR="00144891">
          <w:rPr>
            <w:noProof/>
            <w:webHidden/>
          </w:rPr>
          <w:t>8</w:t>
        </w:r>
        <w:r w:rsidR="00144891">
          <w:rPr>
            <w:noProof/>
            <w:webHidden/>
          </w:rPr>
          <w:fldChar w:fldCharType="end"/>
        </w:r>
      </w:hyperlink>
    </w:p>
    <w:p w:rsidR="00144891" w:rsidRDefault="00FC7DDE">
      <w:pPr>
        <w:pStyle w:val="TOC1"/>
        <w:tabs>
          <w:tab w:val="right" w:leader="dot" w:pos="8630"/>
        </w:tabs>
        <w:rPr>
          <w:rFonts w:asciiTheme="minorHAnsi" w:eastAsiaTheme="minorEastAsia" w:hAnsiTheme="minorHAnsi" w:cstheme="minorBidi"/>
          <w:noProof/>
          <w:sz w:val="22"/>
          <w:szCs w:val="22"/>
        </w:rPr>
      </w:pPr>
      <w:hyperlink w:anchor="_Toc446579056" w:history="1">
        <w:r w:rsidR="00144891" w:rsidRPr="00433890">
          <w:rPr>
            <w:rStyle w:val="Hyperlink"/>
            <w:rFonts w:cs="Arial"/>
            <w:iCs/>
            <w:noProof/>
          </w:rPr>
          <w:t>Appendices</w:t>
        </w:r>
        <w:r w:rsidR="00144891">
          <w:rPr>
            <w:noProof/>
            <w:webHidden/>
          </w:rPr>
          <w:tab/>
        </w:r>
        <w:r w:rsidR="00144891">
          <w:rPr>
            <w:noProof/>
            <w:webHidden/>
          </w:rPr>
          <w:fldChar w:fldCharType="begin"/>
        </w:r>
        <w:r w:rsidR="00144891">
          <w:rPr>
            <w:noProof/>
            <w:webHidden/>
          </w:rPr>
          <w:instrText xml:space="preserve"> PAGEREF _Toc446579056 \h </w:instrText>
        </w:r>
        <w:r w:rsidR="00144891">
          <w:rPr>
            <w:noProof/>
            <w:webHidden/>
          </w:rPr>
        </w:r>
        <w:r w:rsidR="00144891">
          <w:rPr>
            <w:noProof/>
            <w:webHidden/>
          </w:rPr>
          <w:fldChar w:fldCharType="separate"/>
        </w:r>
        <w:r w:rsidR="00144891">
          <w:rPr>
            <w:noProof/>
            <w:webHidden/>
          </w:rPr>
          <w:t>10</w:t>
        </w:r>
        <w:r w:rsidR="00144891">
          <w:rPr>
            <w:noProof/>
            <w:webHidden/>
          </w:rPr>
          <w:fldChar w:fldCharType="end"/>
        </w:r>
      </w:hyperlink>
    </w:p>
    <w:p w:rsidR="00EF4817" w:rsidRPr="004B79A8" w:rsidRDefault="00E77666" w:rsidP="00DC33EB">
      <w:pPr>
        <w:spacing w:before="0" w:after="0"/>
        <w:jc w:val="both"/>
        <w:rPr>
          <w:rFonts w:ascii="Arial" w:hAnsi="Arial" w:cs="Arial"/>
          <w:sz w:val="24"/>
          <w:lang w:val="en-AU"/>
        </w:rPr>
      </w:pPr>
      <w:r w:rsidRPr="004B79A8">
        <w:rPr>
          <w:rFonts w:ascii="Arial" w:hAnsi="Arial" w:cs="Arial"/>
          <w:sz w:val="24"/>
          <w:lang w:val="en-AU"/>
        </w:rPr>
        <w:fldChar w:fldCharType="end"/>
      </w:r>
    </w:p>
    <w:p w:rsidR="00EF4817" w:rsidRPr="004B79A8" w:rsidRDefault="00EF4817" w:rsidP="00DC33EB">
      <w:pPr>
        <w:jc w:val="both"/>
        <w:rPr>
          <w:rFonts w:ascii="Arial" w:hAnsi="Arial" w:cs="Arial"/>
          <w:b/>
          <w:sz w:val="24"/>
          <w:lang w:val="en-AU"/>
        </w:rPr>
      </w:pPr>
    </w:p>
    <w:p w:rsidR="00EF4817" w:rsidRPr="004B79A8" w:rsidRDefault="00EF4817" w:rsidP="00DC33EB">
      <w:pPr>
        <w:jc w:val="both"/>
        <w:rPr>
          <w:rFonts w:ascii="Arial" w:hAnsi="Arial" w:cs="Arial"/>
          <w:b/>
          <w:sz w:val="24"/>
          <w:lang w:val="en-AU"/>
        </w:rPr>
      </w:pPr>
    </w:p>
    <w:p w:rsidR="00EF4817" w:rsidRPr="004B79A8" w:rsidRDefault="00EF4817" w:rsidP="00DC33EB">
      <w:pPr>
        <w:jc w:val="both"/>
        <w:rPr>
          <w:rFonts w:ascii="Arial" w:hAnsi="Arial" w:cs="Arial"/>
          <w:b/>
          <w:sz w:val="24"/>
          <w:lang w:val="en-AU"/>
        </w:rPr>
      </w:pPr>
    </w:p>
    <w:p w:rsidR="00EF4817" w:rsidRPr="004B79A8" w:rsidRDefault="00EF4817" w:rsidP="00DC33EB">
      <w:pPr>
        <w:jc w:val="both"/>
        <w:rPr>
          <w:rFonts w:ascii="Arial" w:hAnsi="Arial" w:cs="Arial"/>
          <w:b/>
          <w:sz w:val="24"/>
          <w:lang w:val="en-AU"/>
        </w:rPr>
      </w:pPr>
    </w:p>
    <w:p w:rsidR="00EF4817" w:rsidRPr="004B79A8" w:rsidRDefault="00EF4817" w:rsidP="00DC33EB">
      <w:pPr>
        <w:jc w:val="both"/>
        <w:rPr>
          <w:rFonts w:ascii="Arial" w:hAnsi="Arial" w:cs="Arial"/>
          <w:b/>
          <w:sz w:val="24"/>
          <w:lang w:val="en-AU"/>
        </w:rPr>
      </w:pPr>
    </w:p>
    <w:p w:rsidR="00EF4817" w:rsidRPr="004B79A8" w:rsidRDefault="00EF4817" w:rsidP="00DC33EB">
      <w:pPr>
        <w:jc w:val="both"/>
        <w:rPr>
          <w:rFonts w:ascii="Arial" w:hAnsi="Arial" w:cs="Arial"/>
          <w:b/>
          <w:sz w:val="24"/>
          <w:lang w:val="en-AU"/>
        </w:rPr>
      </w:pPr>
    </w:p>
    <w:p w:rsidR="00EF4817" w:rsidRPr="004B79A8" w:rsidRDefault="00EF4817" w:rsidP="00DC33EB">
      <w:pPr>
        <w:jc w:val="both"/>
        <w:rPr>
          <w:rFonts w:ascii="Arial" w:hAnsi="Arial" w:cs="Arial"/>
          <w:b/>
          <w:sz w:val="24"/>
          <w:lang w:val="en-AU"/>
        </w:rPr>
      </w:pPr>
    </w:p>
    <w:p w:rsidR="00EF4817" w:rsidRPr="004B79A8" w:rsidRDefault="00EF4817" w:rsidP="00DC33EB">
      <w:pPr>
        <w:jc w:val="both"/>
        <w:rPr>
          <w:rFonts w:ascii="Arial" w:hAnsi="Arial" w:cs="Arial"/>
          <w:b/>
          <w:sz w:val="24"/>
          <w:lang w:val="en-AU"/>
        </w:rPr>
        <w:sectPr w:rsidR="00EF4817" w:rsidRPr="004B79A8" w:rsidSect="00312335">
          <w:pgSz w:w="12240" w:h="15840"/>
          <w:pgMar w:top="1440" w:right="1800" w:bottom="1440" w:left="1800" w:header="1361" w:footer="737" w:gutter="0"/>
          <w:pgNumType w:start="1"/>
          <w:cols w:space="720"/>
          <w:docGrid w:linePitch="299"/>
        </w:sectPr>
      </w:pPr>
    </w:p>
    <w:p w:rsidR="00EF4817" w:rsidRPr="00D95D60" w:rsidRDefault="00EF4817" w:rsidP="00DC33EB">
      <w:pPr>
        <w:pStyle w:val="Pagetitle"/>
        <w:pBdr>
          <w:bottom w:val="single" w:sz="4" w:space="1" w:color="auto"/>
        </w:pBdr>
        <w:jc w:val="both"/>
        <w:rPr>
          <w:rFonts w:cs="Arial"/>
          <w:color w:val="auto"/>
          <w:sz w:val="24"/>
          <w:szCs w:val="24"/>
        </w:rPr>
      </w:pPr>
      <w:bookmarkStart w:id="0" w:name="_Toc342565494"/>
      <w:bookmarkStart w:id="1" w:name="_Toc446579044"/>
      <w:r w:rsidRPr="00D95D60">
        <w:rPr>
          <w:rFonts w:cs="Arial"/>
          <w:color w:val="auto"/>
          <w:sz w:val="24"/>
          <w:szCs w:val="24"/>
        </w:rPr>
        <w:lastRenderedPageBreak/>
        <w:t>Introduction</w:t>
      </w:r>
      <w:bookmarkEnd w:id="0"/>
      <w:bookmarkEnd w:id="1"/>
    </w:p>
    <w:p w:rsidR="00EF4817" w:rsidRPr="004B79A8" w:rsidRDefault="00EF4817" w:rsidP="00DC33EB">
      <w:pPr>
        <w:spacing w:before="0" w:after="0"/>
        <w:jc w:val="both"/>
        <w:rPr>
          <w:rFonts w:ascii="Arial" w:hAnsi="Arial" w:cs="Arial"/>
          <w:sz w:val="24"/>
          <w:lang w:val="en-AU"/>
        </w:rPr>
      </w:pPr>
    </w:p>
    <w:p w:rsidR="003038A5" w:rsidRDefault="003038A5" w:rsidP="00CF36E6">
      <w:pPr>
        <w:autoSpaceDE w:val="0"/>
        <w:autoSpaceDN w:val="0"/>
        <w:adjustRightInd w:val="0"/>
        <w:spacing w:before="100" w:beforeAutospacing="1"/>
        <w:jc w:val="both"/>
        <w:rPr>
          <w:rFonts w:ascii="Arial" w:eastAsiaTheme="minorHAnsi" w:hAnsi="Arial" w:cs="Arial"/>
          <w:color w:val="000000"/>
          <w:sz w:val="24"/>
        </w:rPr>
      </w:pPr>
      <w:r>
        <w:rPr>
          <w:rFonts w:ascii="Arial" w:eastAsiaTheme="minorHAnsi" w:hAnsi="Arial" w:cs="Arial"/>
          <w:color w:val="000000"/>
          <w:sz w:val="24"/>
        </w:rPr>
        <w:t xml:space="preserve">Gambling in Victoria is lawfully provided through electronic gaming machines located in hotels, clubs and the casino, wagering (racing and sports betting), lotteries, keno and bingo, as well as by casino table games. In recent years there has also been </w:t>
      </w:r>
      <w:r w:rsidR="00FE0F7B">
        <w:rPr>
          <w:rFonts w:ascii="Arial" w:eastAsiaTheme="minorHAnsi" w:hAnsi="Arial" w:cs="Arial"/>
          <w:color w:val="000000"/>
          <w:sz w:val="24"/>
        </w:rPr>
        <w:t xml:space="preserve">a </w:t>
      </w:r>
      <w:r>
        <w:rPr>
          <w:rFonts w:ascii="Arial" w:eastAsiaTheme="minorHAnsi" w:hAnsi="Arial" w:cs="Arial"/>
          <w:color w:val="000000"/>
          <w:sz w:val="24"/>
        </w:rPr>
        <w:t>significant increase in online gambling through online wagering.</w:t>
      </w:r>
    </w:p>
    <w:p w:rsidR="000A59E7" w:rsidRDefault="000A59E7" w:rsidP="000A59E7">
      <w:pPr>
        <w:spacing w:before="120"/>
        <w:rPr>
          <w:rFonts w:ascii="Arial" w:eastAsiaTheme="minorHAnsi" w:hAnsi="Arial" w:cs="Arial"/>
          <w:color w:val="000000"/>
          <w:sz w:val="24"/>
        </w:rPr>
      </w:pPr>
      <w:r w:rsidRPr="000A59E7">
        <w:rPr>
          <w:rFonts w:ascii="Arial" w:eastAsiaTheme="minorHAnsi" w:hAnsi="Arial" w:cs="Arial"/>
          <w:color w:val="000000"/>
          <w:sz w:val="24"/>
        </w:rPr>
        <w:t xml:space="preserve">The suite of policy and regulatory responses over the past decade have had mixed outcomes especially with regards to protecting problem gamblers, and vulnerable local communities.  Electronic Gambling Machines (EGMs) are the most dominant source of gambling losses in Australia and these losses have been most acute and sustained in </w:t>
      </w:r>
      <w:proofErr w:type="spellStart"/>
      <w:r w:rsidRPr="000A59E7">
        <w:rPr>
          <w:rFonts w:ascii="Arial" w:eastAsiaTheme="minorHAnsi" w:hAnsi="Arial" w:cs="Arial"/>
          <w:color w:val="000000"/>
          <w:sz w:val="24"/>
        </w:rPr>
        <w:t>Maribyrnong</w:t>
      </w:r>
      <w:proofErr w:type="spellEnd"/>
      <w:r w:rsidRPr="000A59E7">
        <w:rPr>
          <w:rFonts w:ascii="Arial" w:eastAsiaTheme="minorHAnsi" w:hAnsi="Arial" w:cs="Arial"/>
          <w:color w:val="000000"/>
          <w:sz w:val="24"/>
        </w:rPr>
        <w:t xml:space="preserve"> since their introduction.  </w:t>
      </w:r>
      <w:proofErr w:type="spellStart"/>
      <w:r w:rsidRPr="000A59E7">
        <w:rPr>
          <w:rFonts w:ascii="Arial" w:eastAsiaTheme="minorHAnsi" w:hAnsi="Arial" w:cs="Arial"/>
          <w:color w:val="000000"/>
          <w:sz w:val="24"/>
        </w:rPr>
        <w:t>Maribyrnong</w:t>
      </w:r>
      <w:proofErr w:type="spellEnd"/>
      <w:r w:rsidRPr="000A59E7">
        <w:rPr>
          <w:rFonts w:ascii="Arial" w:eastAsiaTheme="minorHAnsi" w:hAnsi="Arial" w:cs="Arial"/>
          <w:color w:val="000000"/>
          <w:sz w:val="24"/>
        </w:rPr>
        <w:t xml:space="preserve"> per capita losses on EGMs are among the highest in Victoria. </w:t>
      </w:r>
    </w:p>
    <w:p w:rsidR="000A59E7" w:rsidRDefault="00EF4817" w:rsidP="000A59E7">
      <w:pPr>
        <w:spacing w:before="120"/>
        <w:rPr>
          <w:rFonts w:ascii="Arial" w:hAnsi="Arial" w:cs="Arial"/>
          <w:sz w:val="24"/>
        </w:rPr>
      </w:pPr>
      <w:r w:rsidRPr="004B79A8">
        <w:rPr>
          <w:rFonts w:ascii="Arial" w:hAnsi="Arial" w:cs="Arial"/>
          <w:sz w:val="24"/>
        </w:rPr>
        <w:t xml:space="preserve">Local Government has an important role in managing the social, economic and health impacts of gambling in local communities, particularly for electronic gaming machines. </w:t>
      </w:r>
      <w:r w:rsidR="00CF36E6">
        <w:rPr>
          <w:rFonts w:ascii="Arial" w:hAnsi="Arial" w:cs="Arial"/>
          <w:sz w:val="24"/>
        </w:rPr>
        <w:t>This role is supported in t</w:t>
      </w:r>
      <w:r w:rsidRPr="004B79A8">
        <w:rPr>
          <w:rFonts w:ascii="Arial" w:hAnsi="Arial" w:cs="Arial"/>
          <w:sz w:val="24"/>
        </w:rPr>
        <w:t>he Victorian Local Government Act 1989</w:t>
      </w:r>
      <w:r w:rsidR="00CF36E6">
        <w:rPr>
          <w:rFonts w:ascii="Arial" w:hAnsi="Arial" w:cs="Arial"/>
          <w:sz w:val="24"/>
        </w:rPr>
        <w:t>,</w:t>
      </w:r>
      <w:r w:rsidRPr="004B79A8">
        <w:rPr>
          <w:rFonts w:ascii="Arial" w:hAnsi="Arial" w:cs="Arial"/>
          <w:sz w:val="24"/>
        </w:rPr>
        <w:t xml:space="preserve"> </w:t>
      </w:r>
      <w:r w:rsidR="00CF36E6">
        <w:rPr>
          <w:rFonts w:ascii="Arial" w:hAnsi="Arial" w:cs="Arial"/>
          <w:sz w:val="24"/>
        </w:rPr>
        <w:t xml:space="preserve">which </w:t>
      </w:r>
      <w:r w:rsidRPr="004B79A8">
        <w:rPr>
          <w:rFonts w:ascii="Arial" w:hAnsi="Arial" w:cs="Arial"/>
          <w:sz w:val="24"/>
        </w:rPr>
        <w:t xml:space="preserve">requires </w:t>
      </w:r>
      <w:r w:rsidR="00CF36E6">
        <w:rPr>
          <w:rFonts w:ascii="Arial" w:hAnsi="Arial" w:cs="Arial"/>
          <w:sz w:val="24"/>
        </w:rPr>
        <w:t>Councils</w:t>
      </w:r>
      <w:r w:rsidR="005F7465" w:rsidRPr="004B79A8">
        <w:rPr>
          <w:rFonts w:ascii="Arial" w:hAnsi="Arial" w:cs="Arial"/>
          <w:sz w:val="24"/>
        </w:rPr>
        <w:t xml:space="preserve"> to</w:t>
      </w:r>
      <w:r w:rsidRPr="004B79A8">
        <w:rPr>
          <w:rFonts w:ascii="Arial" w:hAnsi="Arial" w:cs="Arial"/>
          <w:sz w:val="24"/>
        </w:rPr>
        <w:t xml:space="preserve"> provide the </w:t>
      </w:r>
      <w:r>
        <w:rPr>
          <w:rFonts w:ascii="Arial" w:hAnsi="Arial" w:cs="Arial"/>
          <w:sz w:val="24"/>
        </w:rPr>
        <w:t>best outcomes for the community</w:t>
      </w:r>
      <w:r w:rsidRPr="004B79A8">
        <w:rPr>
          <w:rFonts w:ascii="Arial" w:hAnsi="Arial" w:cs="Arial"/>
          <w:sz w:val="24"/>
        </w:rPr>
        <w:t>, while having regard for the long term and cumulative effects of decisions.</w:t>
      </w:r>
      <w:r w:rsidR="00CF36E6">
        <w:rPr>
          <w:rFonts w:ascii="Arial" w:hAnsi="Arial" w:cs="Arial"/>
          <w:sz w:val="24"/>
        </w:rPr>
        <w:t xml:space="preserve">  </w:t>
      </w:r>
      <w:proofErr w:type="spellStart"/>
      <w:r w:rsidR="00DC33EB">
        <w:rPr>
          <w:rFonts w:ascii="Arial" w:hAnsi="Arial" w:cs="Arial"/>
          <w:sz w:val="24"/>
        </w:rPr>
        <w:t>Maribyrnong</w:t>
      </w:r>
      <w:proofErr w:type="spellEnd"/>
      <w:r w:rsidR="00DC33EB">
        <w:rPr>
          <w:rFonts w:ascii="Arial" w:hAnsi="Arial" w:cs="Arial"/>
          <w:sz w:val="24"/>
        </w:rPr>
        <w:t xml:space="preserve"> City Council </w:t>
      </w:r>
      <w:r w:rsidRPr="004B79A8">
        <w:rPr>
          <w:rFonts w:ascii="Arial" w:hAnsi="Arial" w:cs="Arial"/>
          <w:sz w:val="24"/>
        </w:rPr>
        <w:t xml:space="preserve">is </w:t>
      </w:r>
      <w:r w:rsidR="00CF36E6">
        <w:rPr>
          <w:rFonts w:ascii="Arial" w:hAnsi="Arial" w:cs="Arial"/>
          <w:sz w:val="24"/>
        </w:rPr>
        <w:t xml:space="preserve">also </w:t>
      </w:r>
      <w:r w:rsidRPr="004B79A8">
        <w:rPr>
          <w:rFonts w:ascii="Arial" w:hAnsi="Arial" w:cs="Arial"/>
          <w:sz w:val="24"/>
        </w:rPr>
        <w:t>required to protect and promote health and wellbeing under the Victorian Public Health and Wellbeing Act 2008 and apply the ‘precautionary principle’</w:t>
      </w:r>
      <w:r w:rsidRPr="004B79A8">
        <w:rPr>
          <w:rStyle w:val="FootnoteReference"/>
          <w:rFonts w:ascii="Arial" w:hAnsi="Arial" w:cs="Arial"/>
          <w:sz w:val="24"/>
        </w:rPr>
        <w:footnoteReference w:id="1"/>
      </w:r>
      <w:r w:rsidRPr="004B79A8">
        <w:rPr>
          <w:rFonts w:ascii="Arial" w:hAnsi="Arial" w:cs="Arial"/>
          <w:sz w:val="24"/>
        </w:rPr>
        <w:t xml:space="preserve"> to preventing and controlling public health risk.</w:t>
      </w:r>
    </w:p>
    <w:p w:rsidR="000A59E7" w:rsidRDefault="00100AC8" w:rsidP="000A59E7">
      <w:pPr>
        <w:spacing w:before="120"/>
        <w:rPr>
          <w:rFonts w:ascii="Arial" w:hAnsi="Arial" w:cs="Arial"/>
          <w:sz w:val="24"/>
        </w:rPr>
      </w:pPr>
      <w:r>
        <w:rPr>
          <w:rFonts w:ascii="Arial" w:hAnsi="Arial" w:cs="Arial"/>
          <w:sz w:val="24"/>
        </w:rPr>
        <w:t xml:space="preserve">Furthermore </w:t>
      </w:r>
      <w:proofErr w:type="spellStart"/>
      <w:r>
        <w:rPr>
          <w:rFonts w:ascii="Arial" w:hAnsi="Arial" w:cs="Arial"/>
          <w:sz w:val="24"/>
        </w:rPr>
        <w:t>M</w:t>
      </w:r>
      <w:r w:rsidR="00EF4817" w:rsidRPr="004B79A8">
        <w:rPr>
          <w:rFonts w:ascii="Arial" w:hAnsi="Arial" w:cs="Arial"/>
          <w:sz w:val="24"/>
        </w:rPr>
        <w:t>aribyrnong</w:t>
      </w:r>
      <w:proofErr w:type="spellEnd"/>
      <w:r w:rsidR="00EF4817" w:rsidRPr="004B79A8">
        <w:rPr>
          <w:rFonts w:ascii="Arial" w:hAnsi="Arial" w:cs="Arial"/>
          <w:sz w:val="24"/>
        </w:rPr>
        <w:t xml:space="preserve"> City </w:t>
      </w:r>
      <w:r w:rsidR="005F7465" w:rsidRPr="004B79A8">
        <w:rPr>
          <w:rFonts w:ascii="Arial" w:hAnsi="Arial" w:cs="Arial"/>
          <w:sz w:val="24"/>
        </w:rPr>
        <w:t>Council has</w:t>
      </w:r>
      <w:r w:rsidR="00EF4817" w:rsidRPr="004B79A8">
        <w:rPr>
          <w:rFonts w:ascii="Arial" w:hAnsi="Arial" w:cs="Arial"/>
          <w:sz w:val="24"/>
        </w:rPr>
        <w:t xml:space="preserve"> a statutory responsibility to assess the impacts of EGMs in their municipality under the Victorian Gambling Regulation Act 2003 and Victorian Planning and Environment Act 1987, and have the option to respond to applications to the Victorian Commission for Gambling and Liquor Regulation (VCGLR) in their municipality.</w:t>
      </w:r>
    </w:p>
    <w:p w:rsidR="000A59E7" w:rsidRDefault="00EF4817" w:rsidP="000A59E7">
      <w:pPr>
        <w:spacing w:before="120"/>
        <w:rPr>
          <w:rFonts w:ascii="Arial" w:eastAsiaTheme="minorHAnsi" w:hAnsi="Arial" w:cs="Arial"/>
          <w:color w:val="000000"/>
          <w:sz w:val="24"/>
        </w:rPr>
      </w:pPr>
      <w:r w:rsidRPr="001A3131">
        <w:rPr>
          <w:rFonts w:ascii="Arial" w:eastAsiaTheme="minorHAnsi" w:hAnsi="Arial" w:cs="Arial"/>
          <w:color w:val="000000"/>
          <w:sz w:val="24"/>
        </w:rPr>
        <w:t xml:space="preserve">In 2011, Council adopted its </w:t>
      </w:r>
      <w:r>
        <w:rPr>
          <w:rFonts w:ascii="Arial" w:eastAsiaTheme="minorHAnsi" w:hAnsi="Arial" w:cs="Arial"/>
          <w:color w:val="000000"/>
          <w:sz w:val="24"/>
        </w:rPr>
        <w:t>previous Gambling Policy which outlined</w:t>
      </w:r>
      <w:r w:rsidRPr="001A3131">
        <w:rPr>
          <w:rFonts w:ascii="Arial" w:eastAsiaTheme="minorHAnsi" w:hAnsi="Arial" w:cs="Arial"/>
          <w:color w:val="000000"/>
          <w:sz w:val="24"/>
        </w:rPr>
        <w:t xml:space="preserve"> Council actions for managing gambling within the public policy and </w:t>
      </w:r>
      <w:r w:rsidR="00F01040">
        <w:rPr>
          <w:rFonts w:ascii="Arial" w:eastAsiaTheme="minorHAnsi" w:hAnsi="Arial" w:cs="Arial"/>
          <w:color w:val="000000"/>
          <w:sz w:val="24"/>
        </w:rPr>
        <w:t>gambling industry context of</w:t>
      </w:r>
      <w:r w:rsidRPr="001A3131">
        <w:rPr>
          <w:rFonts w:ascii="Arial" w:eastAsiaTheme="minorHAnsi" w:hAnsi="Arial" w:cs="Arial"/>
          <w:color w:val="000000"/>
          <w:sz w:val="24"/>
        </w:rPr>
        <w:t xml:space="preserve"> Vict</w:t>
      </w:r>
      <w:r>
        <w:rPr>
          <w:rFonts w:ascii="Arial" w:eastAsiaTheme="minorHAnsi" w:hAnsi="Arial" w:cs="Arial"/>
          <w:color w:val="000000"/>
          <w:sz w:val="24"/>
        </w:rPr>
        <w:t xml:space="preserve">oria and </w:t>
      </w:r>
      <w:proofErr w:type="spellStart"/>
      <w:r>
        <w:rPr>
          <w:rFonts w:ascii="Arial" w:eastAsiaTheme="minorHAnsi" w:hAnsi="Arial" w:cs="Arial"/>
          <w:color w:val="000000"/>
          <w:sz w:val="24"/>
        </w:rPr>
        <w:t>Maribyrnong</w:t>
      </w:r>
      <w:proofErr w:type="spellEnd"/>
      <w:r>
        <w:rPr>
          <w:rFonts w:ascii="Arial" w:eastAsiaTheme="minorHAnsi" w:hAnsi="Arial" w:cs="Arial"/>
          <w:color w:val="000000"/>
          <w:sz w:val="24"/>
        </w:rPr>
        <w:t xml:space="preserve">. </w:t>
      </w:r>
    </w:p>
    <w:p w:rsidR="00CF36E6" w:rsidRPr="00CF36E6" w:rsidRDefault="00CF36E6" w:rsidP="00CF36E6">
      <w:pPr>
        <w:autoSpaceDE w:val="0"/>
        <w:autoSpaceDN w:val="0"/>
        <w:adjustRightInd w:val="0"/>
        <w:spacing w:after="0"/>
        <w:jc w:val="both"/>
        <w:rPr>
          <w:rFonts w:ascii="Arial" w:hAnsi="Arial" w:cs="Arial"/>
          <w:sz w:val="24"/>
        </w:rPr>
      </w:pPr>
      <w:r w:rsidRPr="00CF36E6">
        <w:rPr>
          <w:rFonts w:ascii="Arial" w:hAnsi="Arial" w:cs="Arial"/>
          <w:sz w:val="24"/>
        </w:rPr>
        <w:t xml:space="preserve">This </w:t>
      </w:r>
      <w:r w:rsidR="0012707D">
        <w:rPr>
          <w:rFonts w:ascii="Arial" w:hAnsi="Arial" w:cs="Arial"/>
          <w:sz w:val="24"/>
        </w:rPr>
        <w:t xml:space="preserve">2016-2020 </w:t>
      </w:r>
      <w:r w:rsidRPr="00CF36E6">
        <w:rPr>
          <w:rFonts w:ascii="Arial" w:hAnsi="Arial" w:cs="Arial"/>
          <w:sz w:val="24"/>
        </w:rPr>
        <w:t xml:space="preserve">policy </w:t>
      </w:r>
      <w:r w:rsidR="00510525">
        <w:rPr>
          <w:rFonts w:ascii="Arial" w:hAnsi="Arial" w:cs="Arial"/>
          <w:sz w:val="24"/>
        </w:rPr>
        <w:t xml:space="preserve">builds on the previous document and </w:t>
      </w:r>
      <w:r w:rsidRPr="00CF36E6">
        <w:rPr>
          <w:rFonts w:ascii="Arial" w:hAnsi="Arial" w:cs="Arial"/>
          <w:sz w:val="24"/>
        </w:rPr>
        <w:t xml:space="preserve">provides </w:t>
      </w:r>
      <w:r w:rsidRPr="00CF36E6">
        <w:rPr>
          <w:rFonts w:ascii="Arial" w:eastAsiaTheme="minorHAnsi" w:hAnsi="Arial" w:cs="Arial"/>
          <w:sz w:val="24"/>
        </w:rPr>
        <w:t xml:space="preserve">Council’s position on </w:t>
      </w:r>
      <w:r w:rsidR="00865B3A">
        <w:rPr>
          <w:rFonts w:ascii="Arial" w:eastAsiaTheme="minorHAnsi" w:hAnsi="Arial" w:cs="Arial"/>
          <w:sz w:val="24"/>
        </w:rPr>
        <w:t xml:space="preserve">reducing the harms from </w:t>
      </w:r>
      <w:r w:rsidRPr="00CF36E6">
        <w:rPr>
          <w:rFonts w:ascii="Arial" w:eastAsiaTheme="minorHAnsi" w:hAnsi="Arial" w:cs="Arial"/>
          <w:sz w:val="24"/>
        </w:rPr>
        <w:t xml:space="preserve">gambling and the actions that Council will undertake to </w:t>
      </w:r>
      <w:r w:rsidR="0012707D">
        <w:rPr>
          <w:rFonts w:ascii="Arial" w:hAnsi="Arial" w:cs="Arial"/>
          <w:sz w:val="24"/>
        </w:rPr>
        <w:t>promote the</w:t>
      </w:r>
      <w:r w:rsidRPr="004B79A8">
        <w:rPr>
          <w:rFonts w:ascii="Arial" w:hAnsi="Arial" w:cs="Arial"/>
          <w:sz w:val="24"/>
        </w:rPr>
        <w:t xml:space="preserve"> public health and wellbeing of residents and visitors and protect and grow the prosperity of the City of </w:t>
      </w:r>
      <w:proofErr w:type="spellStart"/>
      <w:r w:rsidRPr="004B79A8">
        <w:rPr>
          <w:rFonts w:ascii="Arial" w:hAnsi="Arial" w:cs="Arial"/>
          <w:sz w:val="24"/>
        </w:rPr>
        <w:t>Maribyrnong</w:t>
      </w:r>
      <w:proofErr w:type="spellEnd"/>
      <w:r w:rsidRPr="004B79A8">
        <w:rPr>
          <w:rFonts w:ascii="Arial" w:hAnsi="Arial" w:cs="Arial"/>
          <w:sz w:val="24"/>
        </w:rPr>
        <w:t>.</w:t>
      </w:r>
      <w:r>
        <w:rPr>
          <w:rFonts w:ascii="Arial" w:hAnsi="Arial" w:cs="Arial"/>
          <w:sz w:val="24"/>
        </w:rPr>
        <w:t xml:space="preserve"> </w:t>
      </w:r>
    </w:p>
    <w:p w:rsidR="007939CA" w:rsidRDefault="007939CA">
      <w:pPr>
        <w:spacing w:before="0" w:after="200" w:line="276" w:lineRule="auto"/>
        <w:rPr>
          <w:rFonts w:ascii="Arial" w:hAnsi="Arial" w:cs="Arial"/>
          <w:sz w:val="24"/>
        </w:rPr>
      </w:pPr>
      <w:r>
        <w:rPr>
          <w:rFonts w:ascii="Arial" w:hAnsi="Arial" w:cs="Arial"/>
          <w:sz w:val="24"/>
        </w:rPr>
        <w:br w:type="page"/>
      </w:r>
    </w:p>
    <w:p w:rsidR="009B01EE" w:rsidRPr="004B79A8" w:rsidRDefault="009B01EE" w:rsidP="009B01EE">
      <w:pPr>
        <w:pStyle w:val="Pagetitle"/>
        <w:pBdr>
          <w:bottom w:val="single" w:sz="4" w:space="1" w:color="auto"/>
        </w:pBdr>
        <w:jc w:val="both"/>
        <w:rPr>
          <w:rStyle w:val="Emphasis"/>
          <w:i/>
          <w:color w:val="auto"/>
        </w:rPr>
      </w:pPr>
      <w:bookmarkStart w:id="2" w:name="_Toc446579045"/>
      <w:bookmarkStart w:id="3" w:name="_Toc342565495"/>
      <w:r w:rsidRPr="004B79A8">
        <w:rPr>
          <w:rStyle w:val="Emphasis"/>
          <w:color w:val="auto"/>
        </w:rPr>
        <w:t>Responsibilities</w:t>
      </w:r>
      <w:bookmarkEnd w:id="2"/>
    </w:p>
    <w:p w:rsidR="009B01EE" w:rsidRDefault="009B01EE" w:rsidP="009B01EE">
      <w:pPr>
        <w:spacing w:before="0" w:after="0"/>
        <w:jc w:val="both"/>
        <w:rPr>
          <w:rFonts w:ascii="Arial" w:hAnsi="Arial" w:cs="Arial"/>
          <w:sz w:val="24"/>
          <w:lang w:val="en-AU"/>
        </w:rPr>
      </w:pPr>
    </w:p>
    <w:p w:rsidR="009B01EE" w:rsidRDefault="006B3CAA" w:rsidP="009B01EE">
      <w:pPr>
        <w:pStyle w:val="ListParagraph"/>
        <w:numPr>
          <w:ilvl w:val="1"/>
          <w:numId w:val="1"/>
        </w:numPr>
        <w:spacing w:after="120"/>
        <w:jc w:val="both"/>
        <w:rPr>
          <w:rFonts w:ascii="Arial" w:hAnsi="Arial" w:cs="Arial"/>
          <w:sz w:val="24"/>
          <w:szCs w:val="24"/>
        </w:rPr>
      </w:pPr>
      <w:r>
        <w:rPr>
          <w:rFonts w:ascii="Arial" w:hAnsi="Arial" w:cs="Arial"/>
          <w:sz w:val="24"/>
          <w:szCs w:val="24"/>
        </w:rPr>
        <w:t>Community Infrastructure and Social Development</w:t>
      </w:r>
    </w:p>
    <w:p w:rsidR="00C823E6" w:rsidRPr="00D95D60" w:rsidRDefault="00C823E6" w:rsidP="009B01EE">
      <w:pPr>
        <w:pStyle w:val="ListParagraph"/>
        <w:numPr>
          <w:ilvl w:val="1"/>
          <w:numId w:val="1"/>
        </w:numPr>
        <w:spacing w:after="120"/>
        <w:jc w:val="both"/>
        <w:rPr>
          <w:rFonts w:ascii="Arial" w:hAnsi="Arial" w:cs="Arial"/>
          <w:sz w:val="24"/>
          <w:szCs w:val="24"/>
        </w:rPr>
      </w:pPr>
      <w:r>
        <w:rPr>
          <w:rFonts w:ascii="Arial" w:hAnsi="Arial" w:cs="Arial"/>
          <w:sz w:val="24"/>
          <w:szCs w:val="24"/>
        </w:rPr>
        <w:t>Communications and Engagement</w:t>
      </w:r>
    </w:p>
    <w:p w:rsidR="009B01EE" w:rsidRPr="00D95D60" w:rsidRDefault="006B3CAA" w:rsidP="009B01EE">
      <w:pPr>
        <w:pStyle w:val="ListParagraph"/>
        <w:numPr>
          <w:ilvl w:val="1"/>
          <w:numId w:val="1"/>
        </w:numPr>
        <w:spacing w:after="120"/>
        <w:jc w:val="both"/>
        <w:rPr>
          <w:rFonts w:ascii="Arial" w:hAnsi="Arial" w:cs="Arial"/>
          <w:sz w:val="24"/>
          <w:szCs w:val="24"/>
        </w:rPr>
      </w:pPr>
      <w:r>
        <w:rPr>
          <w:rFonts w:ascii="Arial" w:hAnsi="Arial" w:cs="Arial"/>
          <w:sz w:val="24"/>
          <w:szCs w:val="24"/>
        </w:rPr>
        <w:t>City Business</w:t>
      </w:r>
    </w:p>
    <w:p w:rsidR="009B01EE" w:rsidRPr="00D95D60" w:rsidRDefault="009B01EE" w:rsidP="009B01EE">
      <w:pPr>
        <w:pStyle w:val="ListParagraph"/>
        <w:numPr>
          <w:ilvl w:val="1"/>
          <w:numId w:val="1"/>
        </w:numPr>
        <w:spacing w:before="120" w:after="0"/>
        <w:jc w:val="both"/>
        <w:rPr>
          <w:rFonts w:ascii="Arial" w:hAnsi="Arial" w:cs="Arial"/>
          <w:sz w:val="24"/>
          <w:szCs w:val="24"/>
        </w:rPr>
      </w:pPr>
      <w:r>
        <w:rPr>
          <w:rFonts w:ascii="Arial" w:hAnsi="Arial" w:cs="Arial"/>
          <w:sz w:val="24"/>
          <w:szCs w:val="24"/>
        </w:rPr>
        <w:t>City Strategy</w:t>
      </w:r>
    </w:p>
    <w:p w:rsidR="009B01EE" w:rsidRPr="00D95D60" w:rsidRDefault="009B01EE" w:rsidP="009B01EE">
      <w:pPr>
        <w:pStyle w:val="ListParagraph"/>
        <w:numPr>
          <w:ilvl w:val="1"/>
          <w:numId w:val="1"/>
        </w:numPr>
        <w:spacing w:after="120"/>
        <w:jc w:val="both"/>
        <w:rPr>
          <w:rFonts w:ascii="Arial" w:hAnsi="Arial" w:cs="Arial"/>
          <w:sz w:val="24"/>
          <w:szCs w:val="24"/>
        </w:rPr>
      </w:pPr>
      <w:r>
        <w:rPr>
          <w:rFonts w:ascii="Arial" w:hAnsi="Arial" w:cs="Arial"/>
          <w:sz w:val="24"/>
          <w:szCs w:val="24"/>
        </w:rPr>
        <w:t>Planning Services</w:t>
      </w:r>
    </w:p>
    <w:p w:rsidR="009B01EE" w:rsidRDefault="009B01EE" w:rsidP="009B01EE">
      <w:pPr>
        <w:pStyle w:val="ListParagraph"/>
        <w:numPr>
          <w:ilvl w:val="1"/>
          <w:numId w:val="1"/>
        </w:numPr>
        <w:spacing w:after="120"/>
        <w:jc w:val="both"/>
        <w:rPr>
          <w:rFonts w:ascii="Arial" w:hAnsi="Arial" w:cs="Arial"/>
          <w:sz w:val="24"/>
          <w:szCs w:val="24"/>
        </w:rPr>
      </w:pPr>
      <w:r>
        <w:rPr>
          <w:rFonts w:ascii="Arial" w:hAnsi="Arial" w:cs="Arial"/>
          <w:sz w:val="24"/>
          <w:szCs w:val="24"/>
        </w:rPr>
        <w:t>Recreation</w:t>
      </w:r>
    </w:p>
    <w:p w:rsidR="009B01EE" w:rsidRDefault="009B01EE" w:rsidP="009B01EE">
      <w:pPr>
        <w:pStyle w:val="ListParagraph"/>
        <w:numPr>
          <w:ilvl w:val="1"/>
          <w:numId w:val="1"/>
        </w:numPr>
        <w:spacing w:after="120"/>
        <w:jc w:val="both"/>
        <w:rPr>
          <w:rFonts w:ascii="Arial" w:hAnsi="Arial" w:cs="Arial"/>
          <w:sz w:val="24"/>
          <w:szCs w:val="24"/>
        </w:rPr>
      </w:pPr>
      <w:r>
        <w:rPr>
          <w:rFonts w:ascii="Arial" w:hAnsi="Arial" w:cs="Arial"/>
          <w:sz w:val="24"/>
          <w:szCs w:val="24"/>
        </w:rPr>
        <w:t>Aged and Diversity</w:t>
      </w:r>
    </w:p>
    <w:p w:rsidR="009B01EE" w:rsidRPr="00D95D60" w:rsidRDefault="009B01EE" w:rsidP="009B01EE">
      <w:pPr>
        <w:pStyle w:val="ListParagraph"/>
        <w:numPr>
          <w:ilvl w:val="1"/>
          <w:numId w:val="1"/>
        </w:numPr>
        <w:spacing w:after="120"/>
        <w:jc w:val="both"/>
        <w:rPr>
          <w:rFonts w:ascii="Arial" w:hAnsi="Arial" w:cs="Arial"/>
          <w:sz w:val="24"/>
          <w:szCs w:val="24"/>
        </w:rPr>
      </w:pPr>
      <w:r>
        <w:rPr>
          <w:rFonts w:ascii="Arial" w:hAnsi="Arial" w:cs="Arial"/>
          <w:sz w:val="24"/>
          <w:szCs w:val="24"/>
        </w:rPr>
        <w:t>Family and Community Services</w:t>
      </w:r>
    </w:p>
    <w:p w:rsidR="00AE6C81" w:rsidRDefault="00AE6C81">
      <w:pPr>
        <w:spacing w:before="0" w:after="200" w:line="276" w:lineRule="auto"/>
        <w:rPr>
          <w:rStyle w:val="Emphasis"/>
          <w:rFonts w:ascii="Arial" w:eastAsia="Times" w:hAnsi="Arial"/>
          <w:b/>
          <w:kern w:val="32"/>
          <w:lang w:val="en-AU" w:eastAsia="en-AU"/>
        </w:rPr>
      </w:pPr>
      <w:r>
        <w:rPr>
          <w:rStyle w:val="Emphasis"/>
        </w:rPr>
        <w:br w:type="page"/>
      </w:r>
    </w:p>
    <w:p w:rsidR="00EF4817" w:rsidRPr="004B79A8" w:rsidRDefault="00EF4817" w:rsidP="00DC33EB">
      <w:pPr>
        <w:pStyle w:val="Pagetitle"/>
        <w:pBdr>
          <w:bottom w:val="single" w:sz="4" w:space="1" w:color="auto"/>
        </w:pBdr>
        <w:jc w:val="both"/>
        <w:rPr>
          <w:rFonts w:cs="Arial"/>
          <w:sz w:val="24"/>
          <w:szCs w:val="24"/>
        </w:rPr>
      </w:pPr>
      <w:bookmarkStart w:id="4" w:name="_Toc446579046"/>
      <w:r w:rsidRPr="004B79A8">
        <w:rPr>
          <w:rFonts w:cs="Arial"/>
          <w:sz w:val="24"/>
          <w:szCs w:val="24"/>
        </w:rPr>
        <w:t>Purpose</w:t>
      </w:r>
      <w:bookmarkEnd w:id="3"/>
      <w:bookmarkEnd w:id="4"/>
    </w:p>
    <w:p w:rsidR="00FA0069" w:rsidRDefault="00FA0069" w:rsidP="00FA0069">
      <w:pPr>
        <w:autoSpaceDE w:val="0"/>
        <w:autoSpaceDN w:val="0"/>
        <w:adjustRightInd w:val="0"/>
        <w:spacing w:before="0" w:after="0"/>
        <w:jc w:val="both"/>
        <w:rPr>
          <w:rFonts w:ascii="Arial" w:eastAsiaTheme="minorHAnsi" w:hAnsi="Arial" w:cs="Arial"/>
          <w:sz w:val="24"/>
        </w:rPr>
      </w:pPr>
      <w:r>
        <w:rPr>
          <w:rFonts w:ascii="Arial" w:eastAsiaTheme="minorHAnsi" w:hAnsi="Arial" w:cs="Arial"/>
          <w:sz w:val="24"/>
        </w:rPr>
        <w:t xml:space="preserve">This </w:t>
      </w:r>
      <w:r w:rsidR="0027783B">
        <w:rPr>
          <w:rFonts w:ascii="Arial" w:eastAsiaTheme="minorHAnsi" w:hAnsi="Arial" w:cs="Arial"/>
          <w:sz w:val="24"/>
        </w:rPr>
        <w:t xml:space="preserve">purpose of this </w:t>
      </w:r>
      <w:r>
        <w:rPr>
          <w:rFonts w:ascii="Arial" w:eastAsiaTheme="minorHAnsi" w:hAnsi="Arial" w:cs="Arial"/>
          <w:sz w:val="24"/>
        </w:rPr>
        <w:t xml:space="preserve">policy </w:t>
      </w:r>
      <w:r w:rsidR="0027783B">
        <w:rPr>
          <w:rFonts w:ascii="Arial" w:eastAsiaTheme="minorHAnsi" w:hAnsi="Arial" w:cs="Arial"/>
          <w:sz w:val="24"/>
        </w:rPr>
        <w:t xml:space="preserve">is to </w:t>
      </w:r>
      <w:r>
        <w:rPr>
          <w:rFonts w:ascii="Arial" w:eastAsiaTheme="minorHAnsi" w:hAnsi="Arial" w:cs="Arial"/>
          <w:sz w:val="24"/>
        </w:rPr>
        <w:t xml:space="preserve">outline Council’s position on </w:t>
      </w:r>
      <w:r w:rsidR="0027783B">
        <w:rPr>
          <w:rFonts w:ascii="Arial" w:eastAsiaTheme="minorHAnsi" w:hAnsi="Arial" w:cs="Arial"/>
          <w:sz w:val="24"/>
        </w:rPr>
        <w:t xml:space="preserve">preventing and reducing the negative impacts of </w:t>
      </w:r>
      <w:r>
        <w:rPr>
          <w:rFonts w:ascii="Arial" w:eastAsiaTheme="minorHAnsi" w:hAnsi="Arial" w:cs="Arial"/>
          <w:sz w:val="24"/>
        </w:rPr>
        <w:t>gambling and the actions that Council will undertake to support its position.</w:t>
      </w:r>
    </w:p>
    <w:p w:rsidR="009519DD" w:rsidRDefault="009519DD" w:rsidP="00FA0069">
      <w:pPr>
        <w:autoSpaceDE w:val="0"/>
        <w:autoSpaceDN w:val="0"/>
        <w:adjustRightInd w:val="0"/>
        <w:spacing w:before="0" w:after="0"/>
        <w:jc w:val="both"/>
        <w:rPr>
          <w:rFonts w:ascii="Arial" w:eastAsiaTheme="minorHAnsi" w:hAnsi="Arial" w:cs="Arial"/>
          <w:sz w:val="24"/>
        </w:rPr>
      </w:pPr>
    </w:p>
    <w:p w:rsidR="009519DD" w:rsidRDefault="009519DD" w:rsidP="00FA0069">
      <w:pPr>
        <w:autoSpaceDE w:val="0"/>
        <w:autoSpaceDN w:val="0"/>
        <w:adjustRightInd w:val="0"/>
        <w:spacing w:before="0" w:after="0"/>
        <w:jc w:val="both"/>
        <w:rPr>
          <w:rFonts w:ascii="Arial" w:eastAsiaTheme="minorHAnsi" w:hAnsi="Arial" w:cs="Arial"/>
          <w:sz w:val="24"/>
        </w:rPr>
      </w:pPr>
      <w:r w:rsidRPr="009519DD">
        <w:rPr>
          <w:rFonts w:ascii="Arial" w:eastAsiaTheme="minorHAnsi" w:hAnsi="Arial" w:cs="Arial"/>
          <w:sz w:val="24"/>
        </w:rPr>
        <w:t>The Policy aims to:</w:t>
      </w:r>
    </w:p>
    <w:p w:rsidR="009519DD" w:rsidRDefault="009519DD" w:rsidP="00FA0069">
      <w:pPr>
        <w:autoSpaceDE w:val="0"/>
        <w:autoSpaceDN w:val="0"/>
        <w:adjustRightInd w:val="0"/>
        <w:spacing w:before="0" w:after="0"/>
        <w:jc w:val="both"/>
        <w:rPr>
          <w:rFonts w:ascii="Arial" w:eastAsiaTheme="minorHAnsi" w:hAnsi="Arial" w:cs="Arial"/>
          <w:sz w:val="24"/>
        </w:rPr>
      </w:pPr>
    </w:p>
    <w:p w:rsidR="009519DD" w:rsidRPr="009519DD" w:rsidRDefault="009519DD" w:rsidP="009519DD">
      <w:pPr>
        <w:pStyle w:val="ListParagraph"/>
        <w:numPr>
          <w:ilvl w:val="0"/>
          <w:numId w:val="25"/>
        </w:numPr>
        <w:autoSpaceDE w:val="0"/>
        <w:autoSpaceDN w:val="0"/>
        <w:adjustRightInd w:val="0"/>
        <w:spacing w:after="0"/>
        <w:jc w:val="both"/>
        <w:rPr>
          <w:rFonts w:ascii="Arial" w:hAnsi="Arial" w:cs="Arial"/>
          <w:sz w:val="24"/>
        </w:rPr>
      </w:pPr>
      <w:r w:rsidRPr="009519DD">
        <w:rPr>
          <w:rFonts w:ascii="Arial" w:hAnsi="Arial" w:cs="Arial"/>
          <w:sz w:val="24"/>
        </w:rPr>
        <w:t xml:space="preserve">Reduce the harmful impact of gambling on communities and individuals in the City of </w:t>
      </w:r>
      <w:proofErr w:type="spellStart"/>
      <w:r w:rsidRPr="009519DD">
        <w:rPr>
          <w:rFonts w:ascii="Arial" w:hAnsi="Arial" w:cs="Arial"/>
          <w:sz w:val="24"/>
        </w:rPr>
        <w:t>Maribyrnong</w:t>
      </w:r>
      <w:proofErr w:type="spellEnd"/>
      <w:r w:rsidRPr="009519DD">
        <w:rPr>
          <w:rFonts w:ascii="Arial" w:hAnsi="Arial" w:cs="Arial"/>
          <w:sz w:val="24"/>
        </w:rPr>
        <w:t>.</w:t>
      </w:r>
    </w:p>
    <w:p w:rsidR="009519DD" w:rsidRDefault="009519DD" w:rsidP="00FA0069">
      <w:pPr>
        <w:autoSpaceDE w:val="0"/>
        <w:autoSpaceDN w:val="0"/>
        <w:adjustRightInd w:val="0"/>
        <w:spacing w:before="0" w:after="0"/>
        <w:jc w:val="both"/>
        <w:rPr>
          <w:rFonts w:ascii="Arial" w:eastAsiaTheme="minorHAnsi" w:hAnsi="Arial" w:cs="Arial"/>
          <w:sz w:val="24"/>
        </w:rPr>
      </w:pPr>
    </w:p>
    <w:p w:rsidR="009519DD" w:rsidRPr="009519DD" w:rsidRDefault="009519DD" w:rsidP="009519DD">
      <w:pPr>
        <w:pStyle w:val="ListParagraph"/>
        <w:numPr>
          <w:ilvl w:val="0"/>
          <w:numId w:val="25"/>
        </w:numPr>
        <w:autoSpaceDE w:val="0"/>
        <w:autoSpaceDN w:val="0"/>
        <w:adjustRightInd w:val="0"/>
        <w:spacing w:after="0"/>
        <w:jc w:val="both"/>
        <w:rPr>
          <w:rFonts w:ascii="Arial" w:hAnsi="Arial" w:cs="Arial"/>
          <w:sz w:val="24"/>
        </w:rPr>
      </w:pPr>
      <w:r w:rsidRPr="009519DD">
        <w:rPr>
          <w:rFonts w:ascii="Arial" w:hAnsi="Arial" w:cs="Arial"/>
          <w:sz w:val="24"/>
        </w:rPr>
        <w:t>Support the public health and wellbeing of residents and visitors of the municipality.</w:t>
      </w:r>
    </w:p>
    <w:p w:rsidR="009519DD" w:rsidRDefault="009519DD" w:rsidP="00FA0069">
      <w:pPr>
        <w:autoSpaceDE w:val="0"/>
        <w:autoSpaceDN w:val="0"/>
        <w:adjustRightInd w:val="0"/>
        <w:spacing w:before="0" w:after="0"/>
        <w:jc w:val="both"/>
        <w:rPr>
          <w:rFonts w:ascii="Arial" w:eastAsiaTheme="minorHAnsi" w:hAnsi="Arial" w:cs="Arial"/>
          <w:sz w:val="24"/>
        </w:rPr>
      </w:pPr>
    </w:p>
    <w:p w:rsidR="009519DD" w:rsidRPr="009519DD" w:rsidRDefault="009519DD" w:rsidP="009519DD">
      <w:pPr>
        <w:pStyle w:val="ListParagraph"/>
        <w:numPr>
          <w:ilvl w:val="0"/>
          <w:numId w:val="25"/>
        </w:numPr>
        <w:autoSpaceDE w:val="0"/>
        <w:autoSpaceDN w:val="0"/>
        <w:adjustRightInd w:val="0"/>
        <w:spacing w:after="0"/>
        <w:jc w:val="both"/>
        <w:rPr>
          <w:rFonts w:ascii="Arial" w:hAnsi="Arial" w:cs="Arial"/>
          <w:sz w:val="24"/>
        </w:rPr>
      </w:pPr>
      <w:r w:rsidRPr="009519DD">
        <w:rPr>
          <w:rFonts w:ascii="Arial" w:hAnsi="Arial" w:cs="Arial"/>
          <w:sz w:val="24"/>
        </w:rPr>
        <w:t xml:space="preserve">Protect and grow the prosperity of the City of </w:t>
      </w:r>
      <w:proofErr w:type="spellStart"/>
      <w:r w:rsidRPr="009519DD">
        <w:rPr>
          <w:rFonts w:ascii="Arial" w:hAnsi="Arial" w:cs="Arial"/>
          <w:sz w:val="24"/>
        </w:rPr>
        <w:t>Maribyrnong</w:t>
      </w:r>
      <w:proofErr w:type="spellEnd"/>
      <w:r w:rsidRPr="009519DD">
        <w:rPr>
          <w:rFonts w:ascii="Arial" w:hAnsi="Arial" w:cs="Arial"/>
          <w:sz w:val="24"/>
        </w:rPr>
        <w:t>.</w:t>
      </w:r>
    </w:p>
    <w:p w:rsidR="009519DD" w:rsidRPr="009519DD" w:rsidRDefault="009519DD" w:rsidP="00FA0069">
      <w:pPr>
        <w:autoSpaceDE w:val="0"/>
        <w:autoSpaceDN w:val="0"/>
        <w:adjustRightInd w:val="0"/>
        <w:spacing w:before="0" w:after="0"/>
        <w:jc w:val="both"/>
        <w:rPr>
          <w:rFonts w:ascii="Arial" w:eastAsiaTheme="minorHAnsi" w:hAnsi="Arial" w:cs="Arial"/>
          <w:sz w:val="24"/>
        </w:rPr>
      </w:pPr>
    </w:p>
    <w:p w:rsidR="00EF4817" w:rsidRPr="004B79A8" w:rsidRDefault="00EF4817" w:rsidP="00DC33EB">
      <w:pPr>
        <w:pStyle w:val="Pagetitle"/>
        <w:pBdr>
          <w:bottom w:val="single" w:sz="4" w:space="1" w:color="auto"/>
        </w:pBdr>
        <w:jc w:val="both"/>
        <w:rPr>
          <w:rFonts w:cs="Arial"/>
          <w:sz w:val="24"/>
          <w:szCs w:val="24"/>
        </w:rPr>
      </w:pPr>
      <w:bookmarkStart w:id="5" w:name="_Toc342565496"/>
      <w:bookmarkStart w:id="6" w:name="_Toc446579047"/>
      <w:r w:rsidRPr="004B79A8">
        <w:rPr>
          <w:rFonts w:cs="Arial"/>
          <w:sz w:val="24"/>
          <w:szCs w:val="24"/>
        </w:rPr>
        <w:t>Scope</w:t>
      </w:r>
      <w:bookmarkEnd w:id="5"/>
      <w:bookmarkEnd w:id="6"/>
    </w:p>
    <w:p w:rsidR="000F6031" w:rsidRDefault="006F200C" w:rsidP="00A340C0">
      <w:pPr>
        <w:jc w:val="both"/>
        <w:rPr>
          <w:rFonts w:ascii="Arial" w:hAnsi="Arial" w:cs="Arial"/>
          <w:sz w:val="24"/>
        </w:rPr>
      </w:pPr>
      <w:r>
        <w:rPr>
          <w:rFonts w:ascii="Arial" w:hAnsi="Arial" w:cs="Arial"/>
          <w:sz w:val="24"/>
        </w:rPr>
        <w:t>This</w:t>
      </w:r>
      <w:r w:rsidR="00A340C0" w:rsidRPr="00A340C0">
        <w:rPr>
          <w:rFonts w:ascii="Arial" w:hAnsi="Arial" w:cs="Arial"/>
          <w:sz w:val="24"/>
        </w:rPr>
        <w:t xml:space="preserve"> policy</w:t>
      </w:r>
      <w:r w:rsidR="000F6031">
        <w:rPr>
          <w:rFonts w:ascii="Arial" w:hAnsi="Arial" w:cs="Arial"/>
          <w:sz w:val="24"/>
        </w:rPr>
        <w:t>:</w:t>
      </w:r>
    </w:p>
    <w:p w:rsidR="00A340C0" w:rsidRPr="001E4106" w:rsidRDefault="000F6031" w:rsidP="001E4106">
      <w:pPr>
        <w:pStyle w:val="ListParagraph"/>
        <w:numPr>
          <w:ilvl w:val="0"/>
          <w:numId w:val="26"/>
        </w:numPr>
        <w:jc w:val="both"/>
        <w:rPr>
          <w:rFonts w:ascii="Arial" w:hAnsi="Arial" w:cs="Arial"/>
          <w:sz w:val="24"/>
        </w:rPr>
      </w:pPr>
      <w:r w:rsidRPr="001E4106">
        <w:rPr>
          <w:rFonts w:ascii="Arial" w:hAnsi="Arial" w:cs="Arial"/>
          <w:sz w:val="24"/>
        </w:rPr>
        <w:t>P</w:t>
      </w:r>
      <w:r w:rsidR="00A340C0" w:rsidRPr="001E4106">
        <w:rPr>
          <w:rFonts w:ascii="Arial" w:hAnsi="Arial" w:cs="Arial"/>
          <w:sz w:val="24"/>
        </w:rPr>
        <w:t xml:space="preserve">rovides information on gambling in Victoria and the City of </w:t>
      </w:r>
      <w:proofErr w:type="spellStart"/>
      <w:r w:rsidR="00A340C0" w:rsidRPr="001E4106">
        <w:rPr>
          <w:rFonts w:ascii="Arial" w:hAnsi="Arial" w:cs="Arial"/>
          <w:sz w:val="24"/>
        </w:rPr>
        <w:t>Maribyrnong</w:t>
      </w:r>
      <w:proofErr w:type="spellEnd"/>
      <w:r w:rsidR="00A340C0" w:rsidRPr="001E4106">
        <w:rPr>
          <w:rFonts w:ascii="Arial" w:hAnsi="Arial" w:cs="Arial"/>
          <w:sz w:val="24"/>
        </w:rPr>
        <w:t xml:space="preserve"> and an analysis of the causes and impacts of problem gambling </w:t>
      </w:r>
      <w:r w:rsidR="005F7465" w:rsidRPr="001E4106">
        <w:rPr>
          <w:rFonts w:ascii="Arial" w:hAnsi="Arial" w:cs="Arial"/>
          <w:sz w:val="24"/>
        </w:rPr>
        <w:t xml:space="preserve">through a background paper </w:t>
      </w:r>
      <w:r w:rsidR="00A340C0" w:rsidRPr="001E4106">
        <w:rPr>
          <w:rFonts w:ascii="Arial" w:hAnsi="Arial" w:cs="Arial"/>
          <w:sz w:val="24"/>
        </w:rPr>
        <w:t>at Appendix 1.</w:t>
      </w:r>
    </w:p>
    <w:p w:rsidR="002C5379" w:rsidRPr="001E4106" w:rsidRDefault="002C5379" w:rsidP="001E4106">
      <w:pPr>
        <w:pStyle w:val="ListParagraph"/>
        <w:numPr>
          <w:ilvl w:val="0"/>
          <w:numId w:val="26"/>
        </w:numPr>
        <w:jc w:val="both"/>
        <w:rPr>
          <w:rFonts w:ascii="Arial" w:hAnsi="Arial" w:cs="Arial"/>
          <w:sz w:val="24"/>
        </w:rPr>
      </w:pPr>
      <w:r w:rsidRPr="001E4106">
        <w:rPr>
          <w:rFonts w:ascii="Arial" w:hAnsi="Arial" w:cs="Arial"/>
          <w:sz w:val="24"/>
        </w:rPr>
        <w:t xml:space="preserve">Focuses mainly but not exclusively on electronic gaming machines due their </w:t>
      </w:r>
      <w:r w:rsidR="00B84ACE" w:rsidRPr="001E4106">
        <w:rPr>
          <w:rFonts w:ascii="Arial" w:hAnsi="Arial" w:cs="Arial"/>
          <w:sz w:val="24"/>
        </w:rPr>
        <w:t>significant contribution to losses from gambling in the community.</w:t>
      </w:r>
      <w:r w:rsidRPr="001E4106">
        <w:rPr>
          <w:rFonts w:ascii="Arial" w:hAnsi="Arial" w:cs="Arial"/>
          <w:sz w:val="24"/>
        </w:rPr>
        <w:t xml:space="preserve"> The scope does address gambling in general in recognition of the diversity of gambling options and the predicted growth of new forms such as online gaming.</w:t>
      </w:r>
    </w:p>
    <w:p w:rsidR="00A340C0" w:rsidRPr="001E4106" w:rsidRDefault="000F6031" w:rsidP="001E4106">
      <w:pPr>
        <w:pStyle w:val="ListParagraph"/>
        <w:numPr>
          <w:ilvl w:val="0"/>
          <w:numId w:val="26"/>
        </w:numPr>
        <w:jc w:val="both"/>
        <w:rPr>
          <w:rFonts w:ascii="Arial" w:hAnsi="Arial" w:cs="Arial"/>
          <w:sz w:val="24"/>
        </w:rPr>
      </w:pPr>
      <w:r w:rsidRPr="001E4106">
        <w:rPr>
          <w:rFonts w:ascii="Arial" w:hAnsi="Arial" w:cs="Arial"/>
          <w:sz w:val="24"/>
        </w:rPr>
        <w:t>A</w:t>
      </w:r>
      <w:r w:rsidR="00A340C0" w:rsidRPr="001E4106">
        <w:rPr>
          <w:rFonts w:ascii="Arial" w:hAnsi="Arial" w:cs="Arial"/>
          <w:sz w:val="24"/>
        </w:rPr>
        <w:t>ligns with Council’s legislative duties and powers under the Local Government Act 1989, the Public Health and Wellbeing Act 2008, the Victorian Gambling Regulation Act 2003 and the Victorian Planning and Environment Act 1987.</w:t>
      </w:r>
    </w:p>
    <w:p w:rsidR="00A340C0" w:rsidRPr="001E4106" w:rsidRDefault="000F6031" w:rsidP="001E4106">
      <w:pPr>
        <w:pStyle w:val="ListParagraph"/>
        <w:numPr>
          <w:ilvl w:val="0"/>
          <w:numId w:val="26"/>
        </w:numPr>
        <w:jc w:val="both"/>
        <w:rPr>
          <w:rFonts w:ascii="Arial" w:hAnsi="Arial" w:cs="Arial"/>
          <w:sz w:val="24"/>
        </w:rPr>
      </w:pPr>
      <w:r w:rsidRPr="001E4106">
        <w:rPr>
          <w:rFonts w:ascii="Arial" w:hAnsi="Arial" w:cs="Arial"/>
          <w:sz w:val="24"/>
        </w:rPr>
        <w:t>A</w:t>
      </w:r>
      <w:r w:rsidR="00A340C0" w:rsidRPr="001E4106">
        <w:rPr>
          <w:rFonts w:ascii="Arial" w:hAnsi="Arial" w:cs="Arial"/>
          <w:sz w:val="24"/>
        </w:rPr>
        <w:t xml:space="preserve">ligns with key Council policies including the Council Plan 2013-17 (incorporating the Health and Wellbeing Plan), the Human Rights and Social Justice Framework 2013-2016 and the </w:t>
      </w:r>
      <w:proofErr w:type="spellStart"/>
      <w:r w:rsidR="00A340C0" w:rsidRPr="001E4106">
        <w:rPr>
          <w:rFonts w:ascii="Arial" w:hAnsi="Arial" w:cs="Arial"/>
          <w:sz w:val="24"/>
        </w:rPr>
        <w:t>Revitalising</w:t>
      </w:r>
      <w:proofErr w:type="spellEnd"/>
      <w:r w:rsidR="00A340C0" w:rsidRPr="001E4106">
        <w:rPr>
          <w:rFonts w:ascii="Arial" w:hAnsi="Arial" w:cs="Arial"/>
          <w:sz w:val="24"/>
        </w:rPr>
        <w:t xml:space="preserve"> </w:t>
      </w:r>
      <w:proofErr w:type="spellStart"/>
      <w:r w:rsidR="00A340C0" w:rsidRPr="001E4106">
        <w:rPr>
          <w:rFonts w:ascii="Arial" w:hAnsi="Arial" w:cs="Arial"/>
          <w:sz w:val="24"/>
        </w:rPr>
        <w:t>Braybrook</w:t>
      </w:r>
      <w:proofErr w:type="spellEnd"/>
      <w:r w:rsidR="00A340C0" w:rsidRPr="001E4106">
        <w:rPr>
          <w:rFonts w:ascii="Arial" w:hAnsi="Arial" w:cs="Arial"/>
          <w:sz w:val="24"/>
        </w:rPr>
        <w:t xml:space="preserve"> Strategy and Action Plan 2013-2015. </w:t>
      </w:r>
    </w:p>
    <w:p w:rsidR="00EF4817" w:rsidRPr="00D95D60" w:rsidRDefault="00EF4817" w:rsidP="00DC33EB">
      <w:pPr>
        <w:spacing w:line="276" w:lineRule="auto"/>
        <w:jc w:val="both"/>
        <w:rPr>
          <w:rFonts w:ascii="Arial" w:hAnsi="Arial" w:cs="Arial"/>
          <w:sz w:val="24"/>
        </w:rPr>
      </w:pPr>
    </w:p>
    <w:p w:rsidR="00385DAF" w:rsidRDefault="00385DAF">
      <w:pPr>
        <w:spacing w:before="0" w:after="200" w:line="276" w:lineRule="auto"/>
        <w:rPr>
          <w:rStyle w:val="Emphasis"/>
          <w:rFonts w:ascii="Arial" w:eastAsia="Times" w:hAnsi="Arial"/>
          <w:b/>
          <w:kern w:val="32"/>
          <w:lang w:val="en-AU" w:eastAsia="en-AU"/>
        </w:rPr>
      </w:pPr>
      <w:bookmarkStart w:id="7" w:name="_Toc342565498"/>
      <w:r>
        <w:rPr>
          <w:rStyle w:val="Emphasis"/>
        </w:rPr>
        <w:br w:type="page"/>
      </w:r>
    </w:p>
    <w:p w:rsidR="00EF4817" w:rsidRPr="004B79A8" w:rsidRDefault="00EF4817" w:rsidP="00DC33EB">
      <w:pPr>
        <w:pStyle w:val="Pagetitle"/>
        <w:pBdr>
          <w:bottom w:val="single" w:sz="4" w:space="1" w:color="auto"/>
        </w:pBdr>
        <w:jc w:val="both"/>
        <w:rPr>
          <w:rFonts w:cs="Arial"/>
          <w:sz w:val="24"/>
          <w:szCs w:val="24"/>
        </w:rPr>
      </w:pPr>
      <w:bookmarkStart w:id="8" w:name="_Toc342565499"/>
      <w:bookmarkStart w:id="9" w:name="_Toc446579048"/>
      <w:bookmarkEnd w:id="7"/>
      <w:r w:rsidRPr="004B79A8">
        <w:rPr>
          <w:rFonts w:cs="Arial"/>
          <w:sz w:val="24"/>
          <w:szCs w:val="24"/>
        </w:rPr>
        <w:t>Policy</w:t>
      </w:r>
      <w:bookmarkEnd w:id="8"/>
      <w:r w:rsidR="00523C6F">
        <w:rPr>
          <w:rFonts w:cs="Arial"/>
          <w:sz w:val="24"/>
          <w:szCs w:val="24"/>
        </w:rPr>
        <w:t xml:space="preserve"> Statement</w:t>
      </w:r>
      <w:bookmarkEnd w:id="9"/>
    </w:p>
    <w:p w:rsidR="00671952" w:rsidRDefault="007F1FD5" w:rsidP="00D95D60">
      <w:pPr>
        <w:jc w:val="both"/>
        <w:rPr>
          <w:rFonts w:ascii="Arial" w:hAnsi="Arial" w:cs="Arial"/>
          <w:sz w:val="24"/>
        </w:rPr>
      </w:pPr>
      <w:r w:rsidRPr="0016797B">
        <w:rPr>
          <w:rFonts w:ascii="Arial" w:hAnsi="Arial" w:cs="Arial"/>
          <w:sz w:val="24"/>
        </w:rPr>
        <w:t>As a leader, partner, advocat</w:t>
      </w:r>
      <w:r w:rsidR="00E775C3">
        <w:rPr>
          <w:rFonts w:ascii="Arial" w:hAnsi="Arial" w:cs="Arial"/>
          <w:sz w:val="24"/>
        </w:rPr>
        <w:t>e</w:t>
      </w:r>
      <w:r w:rsidR="00671952" w:rsidRPr="0016797B">
        <w:rPr>
          <w:rFonts w:ascii="Arial" w:hAnsi="Arial" w:cs="Arial"/>
          <w:sz w:val="24"/>
        </w:rPr>
        <w:t xml:space="preserve">, decision maker, service provider, and planner Council </w:t>
      </w:r>
      <w:r w:rsidR="00E50BBE">
        <w:rPr>
          <w:rFonts w:ascii="Arial" w:hAnsi="Arial" w:cs="Arial"/>
          <w:sz w:val="24"/>
        </w:rPr>
        <w:t>identifies</w:t>
      </w:r>
      <w:r w:rsidR="00671952" w:rsidRPr="0016797B">
        <w:rPr>
          <w:rFonts w:ascii="Arial" w:hAnsi="Arial" w:cs="Arial"/>
          <w:sz w:val="24"/>
        </w:rPr>
        <w:t xml:space="preserve"> that community </w:t>
      </w:r>
      <w:r w:rsidR="00D95D60" w:rsidRPr="0016797B">
        <w:rPr>
          <w:rFonts w:ascii="Arial" w:hAnsi="Arial" w:cs="Arial"/>
          <w:sz w:val="24"/>
        </w:rPr>
        <w:t xml:space="preserve">health and </w:t>
      </w:r>
      <w:r w:rsidR="00671952" w:rsidRPr="0016797B">
        <w:rPr>
          <w:rFonts w:ascii="Arial" w:hAnsi="Arial" w:cs="Arial"/>
          <w:sz w:val="24"/>
        </w:rPr>
        <w:t>wellbeing is a long term investment</w:t>
      </w:r>
      <w:r w:rsidR="00D95D60" w:rsidRPr="0016797B">
        <w:rPr>
          <w:rFonts w:ascii="Arial" w:hAnsi="Arial" w:cs="Arial"/>
          <w:sz w:val="24"/>
        </w:rPr>
        <w:t>.</w:t>
      </w:r>
      <w:r w:rsidR="00671952" w:rsidRPr="0016797B">
        <w:rPr>
          <w:rFonts w:ascii="Arial" w:hAnsi="Arial" w:cs="Arial"/>
          <w:sz w:val="24"/>
        </w:rPr>
        <w:t xml:space="preserve"> </w:t>
      </w:r>
      <w:r w:rsidR="00D95D60" w:rsidRPr="0016797B">
        <w:rPr>
          <w:rFonts w:ascii="Arial" w:hAnsi="Arial" w:cs="Arial"/>
          <w:sz w:val="24"/>
        </w:rPr>
        <w:t>Council therefore has a key role in creating and improving the physical, social, natural, cultural and economic environments that keep people and communities well now and into the future</w:t>
      </w:r>
      <w:r w:rsidR="00D95D60" w:rsidRPr="0016797B">
        <w:rPr>
          <w:rStyle w:val="FootnoteReference"/>
          <w:rFonts w:ascii="Arial" w:hAnsi="Arial" w:cs="Arial"/>
          <w:sz w:val="24"/>
        </w:rPr>
        <w:footnoteReference w:id="2"/>
      </w:r>
      <w:r w:rsidR="003E02AC" w:rsidRPr="0016797B">
        <w:rPr>
          <w:rFonts w:ascii="Arial" w:hAnsi="Arial" w:cs="Arial"/>
          <w:sz w:val="24"/>
        </w:rPr>
        <w:t>.</w:t>
      </w:r>
      <w:r w:rsidR="00671952" w:rsidRPr="00671952">
        <w:rPr>
          <w:rFonts w:ascii="Arial" w:hAnsi="Arial" w:cs="Arial"/>
          <w:sz w:val="24"/>
        </w:rPr>
        <w:t xml:space="preserve"> </w:t>
      </w:r>
    </w:p>
    <w:p w:rsidR="002C5379" w:rsidRDefault="002C5379" w:rsidP="00FA0069">
      <w:pPr>
        <w:jc w:val="both"/>
        <w:rPr>
          <w:rFonts w:ascii="Arial" w:hAnsi="Arial" w:cs="Arial"/>
          <w:sz w:val="24"/>
        </w:rPr>
      </w:pPr>
      <w:r>
        <w:rPr>
          <w:rFonts w:ascii="Arial" w:hAnsi="Arial" w:cs="Arial"/>
          <w:sz w:val="24"/>
        </w:rPr>
        <w:t xml:space="preserve">Council </w:t>
      </w:r>
      <w:proofErr w:type="spellStart"/>
      <w:r w:rsidR="00E50BBE">
        <w:rPr>
          <w:rFonts w:ascii="Arial" w:hAnsi="Arial" w:cs="Arial"/>
          <w:sz w:val="24"/>
        </w:rPr>
        <w:t>recognises</w:t>
      </w:r>
      <w:proofErr w:type="spellEnd"/>
      <w:r>
        <w:rPr>
          <w:rFonts w:ascii="Arial" w:hAnsi="Arial" w:cs="Arial"/>
          <w:sz w:val="24"/>
        </w:rPr>
        <w:t xml:space="preserve"> that whilst </w:t>
      </w:r>
      <w:r w:rsidR="00991CE7">
        <w:rPr>
          <w:rFonts w:ascii="Arial" w:hAnsi="Arial" w:cs="Arial"/>
          <w:sz w:val="24"/>
        </w:rPr>
        <w:t>gambling is a legal activity, problem gambling causes social and economic harms to individuals, families and communities</w:t>
      </w:r>
      <w:r w:rsidR="00E50BBE" w:rsidRPr="00E50BBE">
        <w:rPr>
          <w:rFonts w:ascii="Arial" w:hAnsi="Arial" w:cs="Arial"/>
          <w:sz w:val="24"/>
        </w:rPr>
        <w:t xml:space="preserve"> </w:t>
      </w:r>
      <w:r w:rsidR="00E50BBE">
        <w:rPr>
          <w:rFonts w:ascii="Arial" w:hAnsi="Arial" w:cs="Arial"/>
          <w:sz w:val="24"/>
        </w:rPr>
        <w:t>making it a significant public health issue.</w:t>
      </w:r>
      <w:r w:rsidR="00991CE7">
        <w:rPr>
          <w:rFonts w:ascii="Arial" w:hAnsi="Arial" w:cs="Arial"/>
          <w:sz w:val="24"/>
        </w:rPr>
        <w:t xml:space="preserve"> The Council is therefore</w:t>
      </w:r>
      <w:r w:rsidR="00FA0069" w:rsidRPr="006971EE">
        <w:rPr>
          <w:rFonts w:ascii="Arial" w:hAnsi="Arial" w:cs="Arial"/>
          <w:sz w:val="24"/>
        </w:rPr>
        <w:t xml:space="preserve"> committed to </w:t>
      </w:r>
      <w:r w:rsidR="00D144D3">
        <w:rPr>
          <w:rFonts w:ascii="Arial" w:hAnsi="Arial" w:cs="Arial"/>
          <w:sz w:val="24"/>
        </w:rPr>
        <w:t xml:space="preserve">prevent and </w:t>
      </w:r>
      <w:r w:rsidR="00FA0069" w:rsidRPr="006971EE">
        <w:rPr>
          <w:rFonts w:ascii="Arial" w:hAnsi="Arial" w:cs="Arial"/>
          <w:sz w:val="24"/>
        </w:rPr>
        <w:t xml:space="preserve">reduce the harm and </w:t>
      </w:r>
      <w:proofErr w:type="spellStart"/>
      <w:r w:rsidR="00FA0069" w:rsidRPr="006971EE">
        <w:rPr>
          <w:rFonts w:ascii="Arial" w:hAnsi="Arial" w:cs="Arial"/>
          <w:sz w:val="24"/>
        </w:rPr>
        <w:t>minimise</w:t>
      </w:r>
      <w:proofErr w:type="spellEnd"/>
      <w:r w:rsidR="00FA0069" w:rsidRPr="006971EE">
        <w:rPr>
          <w:rFonts w:ascii="Arial" w:hAnsi="Arial" w:cs="Arial"/>
          <w:sz w:val="24"/>
        </w:rPr>
        <w:t xml:space="preserve"> the negative impacts of gambling to the City of </w:t>
      </w:r>
      <w:proofErr w:type="spellStart"/>
      <w:r w:rsidR="00FA0069" w:rsidRPr="006971EE">
        <w:rPr>
          <w:rFonts w:ascii="Arial" w:hAnsi="Arial" w:cs="Arial"/>
          <w:sz w:val="24"/>
        </w:rPr>
        <w:t>Maribyrnong</w:t>
      </w:r>
      <w:proofErr w:type="spellEnd"/>
      <w:r w:rsidR="00FA0069" w:rsidRPr="006971EE">
        <w:rPr>
          <w:rFonts w:ascii="Arial" w:hAnsi="Arial" w:cs="Arial"/>
          <w:sz w:val="24"/>
        </w:rPr>
        <w:t xml:space="preserve"> community. </w:t>
      </w:r>
    </w:p>
    <w:p w:rsidR="00FA0069" w:rsidRDefault="00991CE7" w:rsidP="00FA0069">
      <w:pPr>
        <w:jc w:val="both"/>
        <w:rPr>
          <w:rFonts w:ascii="Arial" w:hAnsi="Arial" w:cs="Arial"/>
          <w:sz w:val="24"/>
        </w:rPr>
      </w:pPr>
      <w:r>
        <w:rPr>
          <w:rFonts w:ascii="Arial" w:hAnsi="Arial" w:cs="Arial"/>
          <w:sz w:val="24"/>
        </w:rPr>
        <w:t>Council’s</w:t>
      </w:r>
      <w:r w:rsidR="002C5379">
        <w:rPr>
          <w:rFonts w:ascii="Arial" w:hAnsi="Arial" w:cs="Arial"/>
          <w:sz w:val="24"/>
        </w:rPr>
        <w:t xml:space="preserve"> framework for action will focus on advocacy, research, engagement and legislation and be delivered in </w:t>
      </w:r>
      <w:r w:rsidR="00FA0069" w:rsidRPr="006971EE">
        <w:rPr>
          <w:rFonts w:ascii="Arial" w:hAnsi="Arial" w:cs="Arial"/>
          <w:sz w:val="24"/>
        </w:rPr>
        <w:t>partnership with our community, local stakeholders and gambling venues operators</w:t>
      </w:r>
      <w:r w:rsidR="002C5379">
        <w:rPr>
          <w:rFonts w:ascii="Arial" w:hAnsi="Arial" w:cs="Arial"/>
          <w:sz w:val="24"/>
        </w:rPr>
        <w:t>.</w:t>
      </w:r>
      <w:r w:rsidR="00FA0069" w:rsidRPr="006971EE">
        <w:rPr>
          <w:rFonts w:ascii="Arial" w:hAnsi="Arial" w:cs="Arial"/>
          <w:sz w:val="24"/>
        </w:rPr>
        <w:t xml:space="preserve"> </w:t>
      </w:r>
    </w:p>
    <w:p w:rsidR="0027783B" w:rsidRPr="0027783B" w:rsidRDefault="0027783B" w:rsidP="0027783B">
      <w:pPr>
        <w:pStyle w:val="Pagetitle"/>
        <w:pBdr>
          <w:bottom w:val="single" w:sz="4" w:space="1" w:color="auto"/>
        </w:pBdr>
        <w:jc w:val="both"/>
        <w:rPr>
          <w:rFonts w:cs="Arial"/>
          <w:sz w:val="24"/>
          <w:szCs w:val="24"/>
        </w:rPr>
      </w:pPr>
      <w:bookmarkStart w:id="10" w:name="_Toc446579049"/>
      <w:r w:rsidRPr="0027783B">
        <w:rPr>
          <w:rFonts w:cs="Arial"/>
          <w:sz w:val="24"/>
          <w:szCs w:val="24"/>
        </w:rPr>
        <w:t>Policy Commitments:</w:t>
      </w:r>
      <w:bookmarkEnd w:id="10"/>
      <w:r w:rsidRPr="0027783B">
        <w:rPr>
          <w:rFonts w:cs="Arial"/>
          <w:sz w:val="24"/>
          <w:szCs w:val="24"/>
        </w:rPr>
        <w:t xml:space="preserve"> </w:t>
      </w:r>
    </w:p>
    <w:p w:rsidR="0027783B" w:rsidRDefault="00991CE7" w:rsidP="0027783B">
      <w:pPr>
        <w:jc w:val="both"/>
        <w:rPr>
          <w:rFonts w:ascii="Arial" w:hAnsi="Arial" w:cs="Arial"/>
          <w:sz w:val="24"/>
        </w:rPr>
      </w:pPr>
      <w:r>
        <w:rPr>
          <w:rFonts w:ascii="Arial" w:hAnsi="Arial" w:cs="Arial"/>
          <w:sz w:val="24"/>
        </w:rPr>
        <w:t>In achieving the aims of this policy</w:t>
      </w:r>
      <w:r w:rsidR="0061157F">
        <w:rPr>
          <w:rFonts w:ascii="Arial" w:hAnsi="Arial" w:cs="Arial"/>
          <w:sz w:val="24"/>
        </w:rPr>
        <w:t>,</w:t>
      </w:r>
      <w:r>
        <w:rPr>
          <w:rFonts w:ascii="Arial" w:hAnsi="Arial" w:cs="Arial"/>
          <w:sz w:val="24"/>
        </w:rPr>
        <w:t xml:space="preserve"> </w:t>
      </w:r>
      <w:proofErr w:type="spellStart"/>
      <w:r w:rsidR="0027783B">
        <w:rPr>
          <w:rFonts w:ascii="Arial" w:hAnsi="Arial" w:cs="Arial"/>
          <w:sz w:val="24"/>
        </w:rPr>
        <w:t>Maribyrnong</w:t>
      </w:r>
      <w:proofErr w:type="spellEnd"/>
      <w:r w:rsidR="0027783B">
        <w:rPr>
          <w:rFonts w:ascii="Arial" w:hAnsi="Arial" w:cs="Arial"/>
          <w:sz w:val="24"/>
        </w:rPr>
        <w:t xml:space="preserve"> Council </w:t>
      </w:r>
      <w:r>
        <w:rPr>
          <w:rFonts w:ascii="Arial" w:hAnsi="Arial" w:cs="Arial"/>
          <w:sz w:val="24"/>
        </w:rPr>
        <w:t>commits to</w:t>
      </w:r>
      <w:r w:rsidR="0027783B">
        <w:rPr>
          <w:rFonts w:ascii="Arial" w:hAnsi="Arial" w:cs="Arial"/>
          <w:sz w:val="24"/>
        </w:rPr>
        <w:t xml:space="preserve">: </w:t>
      </w:r>
    </w:p>
    <w:p w:rsidR="0016797B" w:rsidRDefault="0029087D" w:rsidP="00BF2849">
      <w:pPr>
        <w:pStyle w:val="ListParagraph"/>
        <w:numPr>
          <w:ilvl w:val="0"/>
          <w:numId w:val="24"/>
        </w:numPr>
        <w:jc w:val="both"/>
        <w:rPr>
          <w:rFonts w:ascii="Arial" w:hAnsi="Arial" w:cs="Arial"/>
          <w:sz w:val="24"/>
        </w:rPr>
      </w:pPr>
      <w:r>
        <w:rPr>
          <w:rFonts w:ascii="Arial" w:hAnsi="Arial" w:cs="Arial"/>
          <w:sz w:val="24"/>
        </w:rPr>
        <w:t>A</w:t>
      </w:r>
      <w:r w:rsidR="0016797B">
        <w:rPr>
          <w:rFonts w:ascii="Arial" w:hAnsi="Arial" w:cs="Arial"/>
          <w:sz w:val="24"/>
        </w:rPr>
        <w:t>dvocate for changes to Victorian and Commonwealth legislation and policies that contribute to, increase or entrench harm derived from gambling</w:t>
      </w:r>
      <w:r w:rsidR="007E4382">
        <w:rPr>
          <w:rFonts w:ascii="Arial" w:hAnsi="Arial" w:cs="Arial"/>
          <w:sz w:val="24"/>
        </w:rPr>
        <w:t>.</w:t>
      </w:r>
    </w:p>
    <w:p w:rsidR="007E4382" w:rsidRDefault="0029087D" w:rsidP="00BF2849">
      <w:pPr>
        <w:pStyle w:val="ListParagraph"/>
        <w:numPr>
          <w:ilvl w:val="0"/>
          <w:numId w:val="24"/>
        </w:numPr>
        <w:jc w:val="both"/>
        <w:rPr>
          <w:rFonts w:ascii="Arial" w:hAnsi="Arial" w:cs="Arial"/>
          <w:sz w:val="24"/>
        </w:rPr>
      </w:pPr>
      <w:r>
        <w:rPr>
          <w:rFonts w:ascii="Arial" w:hAnsi="Arial" w:cs="Arial"/>
          <w:sz w:val="24"/>
        </w:rPr>
        <w:t>P</w:t>
      </w:r>
      <w:r w:rsidR="0061157F">
        <w:rPr>
          <w:rFonts w:ascii="Arial" w:hAnsi="Arial" w:cs="Arial"/>
          <w:sz w:val="24"/>
        </w:rPr>
        <w:t>romote and</w:t>
      </w:r>
      <w:r w:rsidR="00C47C44">
        <w:rPr>
          <w:rFonts w:ascii="Arial" w:hAnsi="Arial" w:cs="Arial"/>
          <w:sz w:val="24"/>
        </w:rPr>
        <w:t xml:space="preserve"> </w:t>
      </w:r>
      <w:r w:rsidR="007E4382">
        <w:rPr>
          <w:rFonts w:ascii="Arial" w:hAnsi="Arial" w:cs="Arial"/>
          <w:sz w:val="24"/>
        </w:rPr>
        <w:t>r</w:t>
      </w:r>
      <w:r w:rsidR="007E4382" w:rsidRPr="00D95D60">
        <w:rPr>
          <w:rFonts w:ascii="Arial" w:hAnsi="Arial" w:cs="Arial"/>
          <w:sz w:val="24"/>
        </w:rPr>
        <w:t xml:space="preserve">aise awareness </w:t>
      </w:r>
      <w:r w:rsidR="0061157F">
        <w:rPr>
          <w:rFonts w:ascii="Arial" w:hAnsi="Arial" w:cs="Arial"/>
          <w:sz w:val="24"/>
        </w:rPr>
        <w:t>of</w:t>
      </w:r>
      <w:r w:rsidR="007E4382" w:rsidRPr="00D95D60">
        <w:rPr>
          <w:rFonts w:ascii="Arial" w:hAnsi="Arial" w:cs="Arial"/>
          <w:sz w:val="24"/>
        </w:rPr>
        <w:t xml:space="preserve"> Council’s advocacy activities within the local community and </w:t>
      </w:r>
      <w:r w:rsidR="007E4382">
        <w:rPr>
          <w:rFonts w:ascii="Arial" w:hAnsi="Arial" w:cs="Arial"/>
          <w:sz w:val="24"/>
        </w:rPr>
        <w:t xml:space="preserve">stakeholder </w:t>
      </w:r>
      <w:proofErr w:type="spellStart"/>
      <w:r w:rsidR="00762271">
        <w:rPr>
          <w:rFonts w:ascii="Arial" w:hAnsi="Arial" w:cs="Arial"/>
          <w:sz w:val="24"/>
        </w:rPr>
        <w:t>organis</w:t>
      </w:r>
      <w:r w:rsidR="003E3CF9">
        <w:rPr>
          <w:rFonts w:ascii="Arial" w:hAnsi="Arial" w:cs="Arial"/>
          <w:sz w:val="24"/>
        </w:rPr>
        <w:t>ations</w:t>
      </w:r>
      <w:proofErr w:type="spellEnd"/>
      <w:r w:rsidR="003E3CF9">
        <w:rPr>
          <w:rFonts w:ascii="Arial" w:hAnsi="Arial" w:cs="Arial"/>
          <w:sz w:val="24"/>
        </w:rPr>
        <w:t xml:space="preserve">. </w:t>
      </w:r>
    </w:p>
    <w:p w:rsidR="0029087D" w:rsidRDefault="0029087D" w:rsidP="00BF2849">
      <w:pPr>
        <w:pStyle w:val="ListParagraph"/>
        <w:numPr>
          <w:ilvl w:val="0"/>
          <w:numId w:val="24"/>
        </w:numPr>
        <w:jc w:val="both"/>
        <w:rPr>
          <w:rFonts w:ascii="Arial" w:hAnsi="Arial" w:cs="Arial"/>
          <w:sz w:val="24"/>
        </w:rPr>
      </w:pPr>
      <w:r>
        <w:rPr>
          <w:rFonts w:ascii="Arial" w:hAnsi="Arial" w:cs="Arial"/>
          <w:sz w:val="24"/>
        </w:rPr>
        <w:t>S</w:t>
      </w:r>
      <w:r w:rsidR="0016797B">
        <w:rPr>
          <w:rFonts w:ascii="Arial" w:hAnsi="Arial" w:cs="Arial"/>
          <w:sz w:val="24"/>
        </w:rPr>
        <w:t>upport engagement activities that encourage the prevention and management of all form</w:t>
      </w:r>
      <w:r w:rsidR="001A626A">
        <w:rPr>
          <w:rFonts w:ascii="Arial" w:hAnsi="Arial" w:cs="Arial"/>
          <w:sz w:val="24"/>
        </w:rPr>
        <w:t>s of harm derived from gambling in</w:t>
      </w:r>
      <w:r w:rsidR="00C37111">
        <w:rPr>
          <w:rFonts w:ascii="Arial" w:hAnsi="Arial" w:cs="Arial"/>
          <w:sz w:val="24"/>
        </w:rPr>
        <w:t xml:space="preserve"> the c</w:t>
      </w:r>
      <w:r w:rsidR="001A626A">
        <w:rPr>
          <w:rFonts w:ascii="Arial" w:hAnsi="Arial" w:cs="Arial"/>
          <w:sz w:val="24"/>
        </w:rPr>
        <w:t>ommunity.</w:t>
      </w:r>
    </w:p>
    <w:p w:rsidR="0029087D" w:rsidRDefault="005A06A1" w:rsidP="0029087D">
      <w:pPr>
        <w:pStyle w:val="ListParagraph"/>
        <w:numPr>
          <w:ilvl w:val="0"/>
          <w:numId w:val="24"/>
        </w:numPr>
        <w:jc w:val="both"/>
        <w:rPr>
          <w:rFonts w:ascii="Arial" w:hAnsi="Arial" w:cs="Arial"/>
          <w:sz w:val="24"/>
        </w:rPr>
      </w:pPr>
      <w:r>
        <w:rPr>
          <w:rFonts w:ascii="Arial" w:hAnsi="Arial" w:cs="Arial"/>
          <w:sz w:val="24"/>
        </w:rPr>
        <w:t>I</w:t>
      </w:r>
      <w:r w:rsidR="0029087D" w:rsidRPr="00D95D60">
        <w:rPr>
          <w:rFonts w:ascii="Arial" w:hAnsi="Arial" w:cs="Arial"/>
          <w:sz w:val="24"/>
        </w:rPr>
        <w:t>nform the community on the programs and services available to assist problem gamblers.</w:t>
      </w:r>
    </w:p>
    <w:p w:rsidR="0016797B" w:rsidRPr="00EF5669" w:rsidRDefault="0029087D" w:rsidP="00BF2849">
      <w:pPr>
        <w:pStyle w:val="ListParagraph"/>
        <w:numPr>
          <w:ilvl w:val="0"/>
          <w:numId w:val="24"/>
        </w:numPr>
        <w:jc w:val="both"/>
        <w:rPr>
          <w:rFonts w:ascii="Arial" w:hAnsi="Arial" w:cs="Arial"/>
          <w:sz w:val="24"/>
        </w:rPr>
      </w:pPr>
      <w:proofErr w:type="spellStart"/>
      <w:r>
        <w:rPr>
          <w:rFonts w:ascii="Arial" w:hAnsi="Arial" w:cs="Arial"/>
          <w:sz w:val="24"/>
        </w:rPr>
        <w:t>Utilise</w:t>
      </w:r>
      <w:proofErr w:type="spellEnd"/>
      <w:r>
        <w:rPr>
          <w:rFonts w:ascii="Arial" w:hAnsi="Arial" w:cs="Arial"/>
          <w:sz w:val="24"/>
        </w:rPr>
        <w:t xml:space="preserve"> </w:t>
      </w:r>
      <w:r w:rsidR="002A19B3">
        <w:rPr>
          <w:rFonts w:ascii="Arial" w:hAnsi="Arial" w:cs="Arial"/>
          <w:sz w:val="24"/>
        </w:rPr>
        <w:t xml:space="preserve">relevant legislation, in </w:t>
      </w:r>
      <w:r w:rsidR="002A19B3">
        <w:rPr>
          <w:rFonts w:ascii="Arial" w:hAnsi="Arial" w:cs="Arial"/>
          <w:iCs/>
          <w:sz w:val="24"/>
          <w:szCs w:val="24"/>
        </w:rPr>
        <w:t xml:space="preserve">particular the </w:t>
      </w:r>
      <w:proofErr w:type="spellStart"/>
      <w:r w:rsidR="002A19B3">
        <w:rPr>
          <w:rFonts w:ascii="Arial" w:hAnsi="Arial" w:cs="Arial"/>
          <w:iCs/>
          <w:sz w:val="24"/>
          <w:szCs w:val="24"/>
        </w:rPr>
        <w:t>Maribyrnong</w:t>
      </w:r>
      <w:proofErr w:type="spellEnd"/>
      <w:r w:rsidR="002A19B3">
        <w:rPr>
          <w:rFonts w:ascii="Arial" w:hAnsi="Arial" w:cs="Arial"/>
          <w:iCs/>
          <w:sz w:val="24"/>
          <w:szCs w:val="24"/>
        </w:rPr>
        <w:t xml:space="preserve"> Planning Scheme Claus</w:t>
      </w:r>
      <w:r>
        <w:rPr>
          <w:rFonts w:ascii="Arial" w:hAnsi="Arial" w:cs="Arial"/>
          <w:iCs/>
          <w:sz w:val="24"/>
          <w:szCs w:val="24"/>
        </w:rPr>
        <w:t xml:space="preserve">e 22.06 (Local Planning Policy) to reduce the negative impacts of gambling on the City of </w:t>
      </w:r>
      <w:proofErr w:type="spellStart"/>
      <w:r>
        <w:rPr>
          <w:rFonts w:ascii="Arial" w:hAnsi="Arial" w:cs="Arial"/>
          <w:iCs/>
          <w:sz w:val="24"/>
          <w:szCs w:val="24"/>
        </w:rPr>
        <w:t>Maribyrnong</w:t>
      </w:r>
      <w:proofErr w:type="spellEnd"/>
      <w:r>
        <w:rPr>
          <w:rFonts w:ascii="Arial" w:hAnsi="Arial" w:cs="Arial"/>
          <w:iCs/>
          <w:sz w:val="24"/>
          <w:szCs w:val="24"/>
        </w:rPr>
        <w:t xml:space="preserve"> community.</w:t>
      </w:r>
    </w:p>
    <w:p w:rsidR="00D8532D" w:rsidRPr="00AA1D4E" w:rsidRDefault="00825AEE" w:rsidP="00D8532D">
      <w:pPr>
        <w:pStyle w:val="ListParagraph"/>
        <w:numPr>
          <w:ilvl w:val="0"/>
          <w:numId w:val="24"/>
        </w:numPr>
        <w:jc w:val="both"/>
        <w:rPr>
          <w:rFonts w:ascii="Arial" w:hAnsi="Arial" w:cs="Arial"/>
          <w:sz w:val="24"/>
        </w:rPr>
      </w:pPr>
      <w:r>
        <w:rPr>
          <w:rFonts w:ascii="Arial" w:hAnsi="Arial" w:cs="Arial"/>
          <w:iCs/>
          <w:sz w:val="24"/>
          <w:szCs w:val="24"/>
        </w:rPr>
        <w:t>Thoroughly a</w:t>
      </w:r>
      <w:r w:rsidR="00D8532D">
        <w:rPr>
          <w:rFonts w:ascii="Arial" w:hAnsi="Arial" w:cs="Arial"/>
          <w:iCs/>
          <w:sz w:val="24"/>
          <w:szCs w:val="24"/>
        </w:rPr>
        <w:t xml:space="preserve">ssess the social and economic impacts for each gaming </w:t>
      </w:r>
      <w:proofErr w:type="spellStart"/>
      <w:r w:rsidR="00D8532D">
        <w:rPr>
          <w:rFonts w:ascii="Arial" w:hAnsi="Arial" w:cs="Arial"/>
          <w:iCs/>
          <w:sz w:val="24"/>
          <w:szCs w:val="24"/>
        </w:rPr>
        <w:t>licence</w:t>
      </w:r>
      <w:proofErr w:type="spellEnd"/>
      <w:r w:rsidR="00D8532D">
        <w:rPr>
          <w:rFonts w:ascii="Arial" w:hAnsi="Arial" w:cs="Arial"/>
          <w:iCs/>
          <w:sz w:val="24"/>
          <w:szCs w:val="24"/>
        </w:rPr>
        <w:t xml:space="preserve"> application to the VCGLR. </w:t>
      </w:r>
    </w:p>
    <w:p w:rsidR="003A758F" w:rsidRDefault="00825AEE" w:rsidP="003A758F">
      <w:pPr>
        <w:pStyle w:val="ListParagraph"/>
        <w:numPr>
          <w:ilvl w:val="0"/>
          <w:numId w:val="24"/>
        </w:numPr>
        <w:autoSpaceDE w:val="0"/>
        <w:autoSpaceDN w:val="0"/>
        <w:adjustRightInd w:val="0"/>
        <w:spacing w:after="28"/>
        <w:jc w:val="both"/>
        <w:rPr>
          <w:rFonts w:ascii="Arial" w:hAnsi="Arial" w:cs="Arial"/>
          <w:sz w:val="24"/>
        </w:rPr>
      </w:pPr>
      <w:r>
        <w:rPr>
          <w:rFonts w:ascii="Arial" w:hAnsi="Arial" w:cs="Arial"/>
          <w:sz w:val="24"/>
        </w:rPr>
        <w:t>O</w:t>
      </w:r>
      <w:r w:rsidR="00F20B9E">
        <w:rPr>
          <w:rFonts w:ascii="Arial" w:hAnsi="Arial" w:cs="Arial"/>
          <w:sz w:val="24"/>
        </w:rPr>
        <w:t>ppose</w:t>
      </w:r>
      <w:r w:rsidR="003A758F">
        <w:rPr>
          <w:rFonts w:ascii="Arial" w:hAnsi="Arial" w:cs="Arial"/>
          <w:sz w:val="24"/>
        </w:rPr>
        <w:t xml:space="preserve"> any increase in the cap of 511 EGMs </w:t>
      </w:r>
      <w:r w:rsidR="00FA7CCA">
        <w:rPr>
          <w:rFonts w:ascii="Arial" w:hAnsi="Arial" w:cs="Arial"/>
          <w:sz w:val="24"/>
        </w:rPr>
        <w:t xml:space="preserve">and advocate for a decrease </w:t>
      </w:r>
      <w:r w:rsidR="003A758F">
        <w:rPr>
          <w:rFonts w:ascii="Arial" w:hAnsi="Arial" w:cs="Arial"/>
          <w:sz w:val="24"/>
        </w:rPr>
        <w:t xml:space="preserve">in </w:t>
      </w:r>
      <w:r w:rsidR="00FA7CCA">
        <w:rPr>
          <w:rFonts w:ascii="Arial" w:hAnsi="Arial" w:cs="Arial"/>
          <w:sz w:val="24"/>
        </w:rPr>
        <w:t xml:space="preserve">EGM’s in </w:t>
      </w:r>
      <w:r w:rsidR="003A758F">
        <w:rPr>
          <w:rFonts w:ascii="Arial" w:hAnsi="Arial" w:cs="Arial"/>
          <w:sz w:val="24"/>
        </w:rPr>
        <w:t xml:space="preserve">the City of </w:t>
      </w:r>
      <w:proofErr w:type="spellStart"/>
      <w:r w:rsidR="003A758F">
        <w:rPr>
          <w:rFonts w:ascii="Arial" w:hAnsi="Arial" w:cs="Arial"/>
          <w:sz w:val="24"/>
        </w:rPr>
        <w:t>Maribyrnong</w:t>
      </w:r>
      <w:proofErr w:type="spellEnd"/>
      <w:r w:rsidR="003A758F">
        <w:rPr>
          <w:rFonts w:ascii="Arial" w:hAnsi="Arial" w:cs="Arial"/>
          <w:sz w:val="24"/>
        </w:rPr>
        <w:t>.</w:t>
      </w:r>
    </w:p>
    <w:p w:rsidR="002B5359" w:rsidRPr="005A05FB" w:rsidRDefault="002B5359" w:rsidP="003A758F">
      <w:pPr>
        <w:pStyle w:val="ListParagraph"/>
        <w:numPr>
          <w:ilvl w:val="0"/>
          <w:numId w:val="24"/>
        </w:numPr>
        <w:autoSpaceDE w:val="0"/>
        <w:autoSpaceDN w:val="0"/>
        <w:adjustRightInd w:val="0"/>
        <w:spacing w:after="28"/>
        <w:jc w:val="both"/>
        <w:rPr>
          <w:rFonts w:ascii="Arial" w:hAnsi="Arial" w:cs="Arial"/>
          <w:sz w:val="24"/>
        </w:rPr>
      </w:pPr>
      <w:r w:rsidRPr="005A05FB">
        <w:rPr>
          <w:rFonts w:ascii="Arial" w:hAnsi="Arial" w:cs="Arial"/>
          <w:sz w:val="24"/>
        </w:rPr>
        <w:t>Oppose an</w:t>
      </w:r>
      <w:r w:rsidR="00DD708C" w:rsidRPr="005A05FB">
        <w:rPr>
          <w:rFonts w:ascii="Arial" w:hAnsi="Arial" w:cs="Arial"/>
          <w:sz w:val="24"/>
        </w:rPr>
        <w:t>y</w:t>
      </w:r>
      <w:r w:rsidRPr="005A05FB">
        <w:rPr>
          <w:rFonts w:ascii="Arial" w:hAnsi="Arial" w:cs="Arial"/>
          <w:sz w:val="24"/>
        </w:rPr>
        <w:t xml:space="preserve"> increase in </w:t>
      </w:r>
      <w:r w:rsidR="005A05FB" w:rsidRPr="005A05FB">
        <w:rPr>
          <w:rFonts w:ascii="Arial" w:hAnsi="Arial" w:cs="Arial"/>
          <w:sz w:val="24"/>
        </w:rPr>
        <w:t xml:space="preserve">density or relocation of </w:t>
      </w:r>
      <w:r w:rsidRPr="005A05FB">
        <w:rPr>
          <w:rFonts w:ascii="Arial" w:hAnsi="Arial" w:cs="Arial"/>
          <w:sz w:val="24"/>
        </w:rPr>
        <w:t>EGMs in areas with high levels of social and econo</w:t>
      </w:r>
      <w:r w:rsidR="00A72982" w:rsidRPr="005A05FB">
        <w:rPr>
          <w:rFonts w:ascii="Arial" w:hAnsi="Arial" w:cs="Arial"/>
          <w:sz w:val="24"/>
        </w:rPr>
        <w:t xml:space="preserve">mic disadvantage, such as </w:t>
      </w:r>
      <w:proofErr w:type="spellStart"/>
      <w:r w:rsidR="00A72982" w:rsidRPr="005A05FB">
        <w:rPr>
          <w:rFonts w:ascii="Arial" w:hAnsi="Arial" w:cs="Arial"/>
          <w:sz w:val="24"/>
        </w:rPr>
        <w:t>Brayb</w:t>
      </w:r>
      <w:r w:rsidRPr="005A05FB">
        <w:rPr>
          <w:rFonts w:ascii="Arial" w:hAnsi="Arial" w:cs="Arial"/>
          <w:sz w:val="24"/>
        </w:rPr>
        <w:t>r</w:t>
      </w:r>
      <w:r w:rsidR="00A72982" w:rsidRPr="005A05FB">
        <w:rPr>
          <w:rFonts w:ascii="Arial" w:hAnsi="Arial" w:cs="Arial"/>
          <w:sz w:val="24"/>
        </w:rPr>
        <w:t>o</w:t>
      </w:r>
      <w:r w:rsidRPr="005A05FB">
        <w:rPr>
          <w:rFonts w:ascii="Arial" w:hAnsi="Arial" w:cs="Arial"/>
          <w:sz w:val="24"/>
        </w:rPr>
        <w:t>ok</w:t>
      </w:r>
      <w:proofErr w:type="spellEnd"/>
      <w:r w:rsidRPr="005A05FB">
        <w:rPr>
          <w:rFonts w:ascii="Arial" w:hAnsi="Arial" w:cs="Arial"/>
          <w:sz w:val="24"/>
        </w:rPr>
        <w:t>.</w:t>
      </w:r>
    </w:p>
    <w:p w:rsidR="00FD129E" w:rsidRDefault="00F20B9E" w:rsidP="00BF2849">
      <w:pPr>
        <w:pStyle w:val="ListParagraph"/>
        <w:numPr>
          <w:ilvl w:val="0"/>
          <w:numId w:val="24"/>
        </w:numPr>
        <w:jc w:val="both"/>
        <w:rPr>
          <w:rFonts w:ascii="Arial" w:hAnsi="Arial" w:cs="Arial"/>
          <w:sz w:val="24"/>
        </w:rPr>
      </w:pPr>
      <w:r>
        <w:rPr>
          <w:rFonts w:ascii="Arial" w:hAnsi="Arial" w:cs="Arial"/>
          <w:sz w:val="24"/>
        </w:rPr>
        <w:t>Prohibit</w:t>
      </w:r>
      <w:r w:rsidR="00FD129E">
        <w:rPr>
          <w:rFonts w:ascii="Arial" w:hAnsi="Arial" w:cs="Arial"/>
          <w:sz w:val="24"/>
        </w:rPr>
        <w:t xml:space="preserve"> any </w:t>
      </w:r>
      <w:r w:rsidR="004A424B">
        <w:rPr>
          <w:rFonts w:ascii="Arial" w:hAnsi="Arial" w:cs="Arial"/>
          <w:sz w:val="24"/>
        </w:rPr>
        <w:t xml:space="preserve">new </w:t>
      </w:r>
      <w:r w:rsidR="00FD129E">
        <w:rPr>
          <w:rFonts w:ascii="Arial" w:hAnsi="Arial" w:cs="Arial"/>
          <w:sz w:val="24"/>
        </w:rPr>
        <w:t>gaming pr</w:t>
      </w:r>
      <w:r w:rsidR="0029436F">
        <w:rPr>
          <w:rFonts w:ascii="Arial" w:hAnsi="Arial" w:cs="Arial"/>
          <w:sz w:val="24"/>
        </w:rPr>
        <w:t>oposal</w:t>
      </w:r>
      <w:r w:rsidR="004A424B">
        <w:rPr>
          <w:rFonts w:ascii="Arial" w:hAnsi="Arial" w:cs="Arial"/>
          <w:sz w:val="24"/>
        </w:rPr>
        <w:t>s</w:t>
      </w:r>
      <w:r w:rsidR="0029436F">
        <w:rPr>
          <w:rFonts w:ascii="Arial" w:hAnsi="Arial" w:cs="Arial"/>
          <w:sz w:val="24"/>
        </w:rPr>
        <w:t xml:space="preserve"> </w:t>
      </w:r>
      <w:r w:rsidR="00FD129E">
        <w:rPr>
          <w:rFonts w:ascii="Arial" w:hAnsi="Arial" w:cs="Arial"/>
          <w:sz w:val="24"/>
        </w:rPr>
        <w:t>on Council owned or managed land or facilities including reserves and sporting venues.</w:t>
      </w:r>
    </w:p>
    <w:p w:rsidR="00CF04CA" w:rsidRDefault="00825AEE" w:rsidP="00CF04CA">
      <w:pPr>
        <w:pStyle w:val="ListParagraph"/>
        <w:numPr>
          <w:ilvl w:val="0"/>
          <w:numId w:val="24"/>
        </w:numPr>
        <w:autoSpaceDE w:val="0"/>
        <w:autoSpaceDN w:val="0"/>
        <w:adjustRightInd w:val="0"/>
        <w:spacing w:after="28"/>
        <w:jc w:val="both"/>
        <w:rPr>
          <w:rFonts w:ascii="Arial" w:hAnsi="Arial" w:cs="Arial"/>
          <w:sz w:val="24"/>
        </w:rPr>
      </w:pPr>
      <w:r>
        <w:rPr>
          <w:rFonts w:ascii="Arial" w:hAnsi="Arial" w:cs="Arial"/>
          <w:sz w:val="24"/>
        </w:rPr>
        <w:t>Not provid</w:t>
      </w:r>
      <w:r w:rsidR="00F20B9E">
        <w:rPr>
          <w:rFonts w:ascii="Arial" w:hAnsi="Arial" w:cs="Arial"/>
          <w:sz w:val="24"/>
        </w:rPr>
        <w:t>e</w:t>
      </w:r>
      <w:r w:rsidR="00106BBC">
        <w:rPr>
          <w:rFonts w:ascii="Arial" w:hAnsi="Arial" w:cs="Arial"/>
          <w:sz w:val="24"/>
        </w:rPr>
        <w:t xml:space="preserve"> financial support</w:t>
      </w:r>
      <w:r>
        <w:rPr>
          <w:rFonts w:ascii="Arial" w:hAnsi="Arial" w:cs="Arial"/>
          <w:sz w:val="24"/>
        </w:rPr>
        <w:t xml:space="preserve"> </w:t>
      </w:r>
      <w:r w:rsidR="00106BBC">
        <w:rPr>
          <w:rFonts w:ascii="Arial" w:hAnsi="Arial" w:cs="Arial"/>
          <w:sz w:val="24"/>
        </w:rPr>
        <w:t>to v</w:t>
      </w:r>
      <w:r w:rsidR="00CF04CA" w:rsidRPr="00CF04CA">
        <w:rPr>
          <w:rFonts w:ascii="Arial" w:hAnsi="Arial" w:cs="Arial"/>
          <w:sz w:val="24"/>
        </w:rPr>
        <w:t xml:space="preserve">enues </w:t>
      </w:r>
      <w:r w:rsidR="00106BBC">
        <w:rPr>
          <w:rFonts w:ascii="Arial" w:hAnsi="Arial" w:cs="Arial"/>
          <w:sz w:val="24"/>
        </w:rPr>
        <w:t>with electronic gaming machines.</w:t>
      </w:r>
    </w:p>
    <w:p w:rsidR="00E50BBE" w:rsidRDefault="00664804" w:rsidP="00E50BBE">
      <w:pPr>
        <w:pStyle w:val="ListParagraph"/>
        <w:numPr>
          <w:ilvl w:val="0"/>
          <w:numId w:val="24"/>
        </w:numPr>
        <w:autoSpaceDE w:val="0"/>
        <w:autoSpaceDN w:val="0"/>
        <w:adjustRightInd w:val="0"/>
        <w:spacing w:after="28"/>
        <w:jc w:val="both"/>
        <w:rPr>
          <w:rFonts w:ascii="Arial" w:hAnsi="Arial" w:cs="Arial"/>
          <w:sz w:val="24"/>
        </w:rPr>
      </w:pPr>
      <w:r>
        <w:rPr>
          <w:rFonts w:ascii="Arial" w:hAnsi="Arial" w:cs="Arial"/>
          <w:sz w:val="24"/>
        </w:rPr>
        <w:t>M</w:t>
      </w:r>
      <w:r w:rsidR="00E50BBE">
        <w:rPr>
          <w:rFonts w:ascii="Arial" w:hAnsi="Arial" w:cs="Arial"/>
          <w:sz w:val="24"/>
        </w:rPr>
        <w:t>aintain independence from the gambling industry and accordingly not accept financial or in kind contributions from gaming operators.</w:t>
      </w:r>
    </w:p>
    <w:p w:rsidR="002A723F" w:rsidRDefault="002A723F" w:rsidP="00CF04CA">
      <w:pPr>
        <w:pStyle w:val="ListParagraph"/>
        <w:numPr>
          <w:ilvl w:val="0"/>
          <w:numId w:val="24"/>
        </w:numPr>
        <w:autoSpaceDE w:val="0"/>
        <w:autoSpaceDN w:val="0"/>
        <w:adjustRightInd w:val="0"/>
        <w:spacing w:after="28"/>
        <w:jc w:val="both"/>
        <w:rPr>
          <w:rFonts w:ascii="Arial" w:hAnsi="Arial" w:cs="Arial"/>
          <w:sz w:val="24"/>
        </w:rPr>
      </w:pPr>
      <w:r>
        <w:rPr>
          <w:rFonts w:ascii="Arial" w:hAnsi="Arial" w:cs="Arial"/>
          <w:sz w:val="24"/>
        </w:rPr>
        <w:t>Prohibit access to online gambling at all Council provided or supported internet public access points.</w:t>
      </w:r>
    </w:p>
    <w:p w:rsidR="0016797B" w:rsidRDefault="00F20B9E" w:rsidP="00E93F38">
      <w:pPr>
        <w:pStyle w:val="ListParagraph"/>
        <w:numPr>
          <w:ilvl w:val="0"/>
          <w:numId w:val="24"/>
        </w:numPr>
        <w:autoSpaceDE w:val="0"/>
        <w:autoSpaceDN w:val="0"/>
        <w:adjustRightInd w:val="0"/>
        <w:spacing w:after="28"/>
        <w:jc w:val="both"/>
        <w:rPr>
          <w:rFonts w:ascii="Arial" w:hAnsi="Arial" w:cs="Arial"/>
          <w:sz w:val="24"/>
        </w:rPr>
      </w:pPr>
      <w:r>
        <w:rPr>
          <w:rFonts w:ascii="Arial" w:hAnsi="Arial" w:cs="Arial"/>
          <w:sz w:val="24"/>
        </w:rPr>
        <w:t>Oppose</w:t>
      </w:r>
      <w:r w:rsidR="00C302F6" w:rsidRPr="00C302F6">
        <w:rPr>
          <w:rFonts w:ascii="Arial" w:hAnsi="Arial" w:cs="Arial"/>
          <w:sz w:val="24"/>
        </w:rPr>
        <w:t xml:space="preserve"> gaming license applications in </w:t>
      </w:r>
      <w:r w:rsidR="00825AEE" w:rsidRPr="00C302F6">
        <w:rPr>
          <w:rFonts w:ascii="Arial" w:hAnsi="Arial" w:cs="Arial"/>
          <w:sz w:val="24"/>
        </w:rPr>
        <w:t>neighboring</w:t>
      </w:r>
      <w:r w:rsidR="00C302F6" w:rsidRPr="00C302F6">
        <w:rPr>
          <w:rFonts w:ascii="Arial" w:hAnsi="Arial" w:cs="Arial"/>
          <w:sz w:val="24"/>
        </w:rPr>
        <w:t xml:space="preserve"> municipalities </w:t>
      </w:r>
      <w:r w:rsidR="00825AEE">
        <w:rPr>
          <w:rFonts w:ascii="Arial" w:hAnsi="Arial" w:cs="Arial"/>
          <w:sz w:val="24"/>
        </w:rPr>
        <w:t>should it consider</w:t>
      </w:r>
      <w:r w:rsidR="00C302F6" w:rsidRPr="00C302F6">
        <w:rPr>
          <w:rFonts w:ascii="Arial" w:hAnsi="Arial" w:cs="Arial"/>
          <w:sz w:val="24"/>
        </w:rPr>
        <w:t xml:space="preserve"> they </w:t>
      </w:r>
      <w:r w:rsidR="00825AEE">
        <w:rPr>
          <w:rFonts w:ascii="Arial" w:hAnsi="Arial" w:cs="Arial"/>
          <w:sz w:val="24"/>
        </w:rPr>
        <w:t>may</w:t>
      </w:r>
      <w:r w:rsidR="00C302F6" w:rsidRPr="00C302F6">
        <w:rPr>
          <w:rFonts w:ascii="Arial" w:hAnsi="Arial" w:cs="Arial"/>
          <w:sz w:val="24"/>
        </w:rPr>
        <w:t xml:space="preserve"> have a negative impact on City of </w:t>
      </w:r>
      <w:proofErr w:type="spellStart"/>
      <w:r w:rsidR="00C302F6" w:rsidRPr="00C302F6">
        <w:rPr>
          <w:rFonts w:ascii="Arial" w:hAnsi="Arial" w:cs="Arial"/>
          <w:sz w:val="24"/>
        </w:rPr>
        <w:t>Maribyrnong</w:t>
      </w:r>
      <w:proofErr w:type="spellEnd"/>
      <w:r w:rsidR="00C302F6" w:rsidRPr="00C302F6">
        <w:rPr>
          <w:rFonts w:ascii="Arial" w:hAnsi="Arial" w:cs="Arial"/>
          <w:sz w:val="24"/>
        </w:rPr>
        <w:t xml:space="preserve"> residents.</w:t>
      </w:r>
    </w:p>
    <w:p w:rsidR="0016797B" w:rsidRPr="0016797B" w:rsidRDefault="0016797B" w:rsidP="0016797B">
      <w:pPr>
        <w:pStyle w:val="Pagetitle"/>
        <w:pBdr>
          <w:bottom w:val="single" w:sz="4" w:space="1" w:color="auto"/>
        </w:pBdr>
        <w:jc w:val="both"/>
        <w:rPr>
          <w:rFonts w:cs="Arial"/>
          <w:sz w:val="24"/>
          <w:szCs w:val="24"/>
        </w:rPr>
      </w:pPr>
      <w:bookmarkStart w:id="11" w:name="_Toc446579050"/>
      <w:r>
        <w:rPr>
          <w:rFonts w:cs="Arial"/>
          <w:sz w:val="24"/>
          <w:szCs w:val="24"/>
        </w:rPr>
        <w:t xml:space="preserve">Framework </w:t>
      </w:r>
      <w:proofErr w:type="gramStart"/>
      <w:r>
        <w:rPr>
          <w:rFonts w:cs="Arial"/>
          <w:sz w:val="24"/>
          <w:szCs w:val="24"/>
        </w:rPr>
        <w:t>For</w:t>
      </w:r>
      <w:proofErr w:type="gramEnd"/>
      <w:r>
        <w:rPr>
          <w:rFonts w:cs="Arial"/>
          <w:sz w:val="24"/>
          <w:szCs w:val="24"/>
        </w:rPr>
        <w:t xml:space="preserve"> Action</w:t>
      </w:r>
      <w:bookmarkEnd w:id="11"/>
    </w:p>
    <w:p w:rsidR="00EF4817" w:rsidRPr="00D95D60" w:rsidRDefault="00DC33EB" w:rsidP="00D72998">
      <w:pPr>
        <w:jc w:val="both"/>
        <w:rPr>
          <w:rFonts w:ascii="Arial" w:hAnsi="Arial" w:cs="Arial"/>
          <w:sz w:val="24"/>
          <w:lang w:val="en-AU"/>
        </w:rPr>
      </w:pPr>
      <w:r w:rsidRPr="00D95D60">
        <w:rPr>
          <w:rFonts w:ascii="Arial" w:hAnsi="Arial" w:cs="Arial"/>
          <w:sz w:val="24"/>
          <w:lang w:val="en-AU"/>
        </w:rPr>
        <w:t>Maribyrnong</w:t>
      </w:r>
      <w:r w:rsidR="00D72998" w:rsidRPr="00D95D60">
        <w:rPr>
          <w:rFonts w:ascii="Arial" w:hAnsi="Arial" w:cs="Arial"/>
          <w:sz w:val="24"/>
          <w:lang w:val="en-AU"/>
        </w:rPr>
        <w:t xml:space="preserve"> City Council</w:t>
      </w:r>
      <w:r w:rsidRPr="00D95D60">
        <w:rPr>
          <w:rFonts w:ascii="Arial" w:hAnsi="Arial" w:cs="Arial"/>
          <w:sz w:val="24"/>
          <w:lang w:val="en-AU"/>
        </w:rPr>
        <w:t xml:space="preserve"> </w:t>
      </w:r>
      <w:r w:rsidR="00D95D60" w:rsidRPr="00D95D60">
        <w:rPr>
          <w:rFonts w:ascii="Arial" w:hAnsi="Arial" w:cs="Arial"/>
          <w:sz w:val="24"/>
          <w:lang w:val="en-AU"/>
        </w:rPr>
        <w:t>commits to undertake the following actions in support of the policy</w:t>
      </w:r>
      <w:r w:rsidRPr="00D95D60">
        <w:rPr>
          <w:rFonts w:ascii="Arial" w:hAnsi="Arial" w:cs="Arial"/>
          <w:sz w:val="24"/>
          <w:lang w:val="en-AU"/>
        </w:rPr>
        <w:t>:</w:t>
      </w:r>
    </w:p>
    <w:p w:rsidR="00EF4817" w:rsidRPr="00D95D60" w:rsidRDefault="00DC33EB" w:rsidP="00DC33EB">
      <w:pPr>
        <w:spacing w:before="120" w:after="0"/>
        <w:jc w:val="both"/>
        <w:rPr>
          <w:rFonts w:ascii="Arial" w:hAnsi="Arial" w:cs="Arial"/>
          <w:sz w:val="24"/>
        </w:rPr>
      </w:pPr>
      <w:proofErr w:type="gramStart"/>
      <w:r w:rsidRPr="00D95D60">
        <w:rPr>
          <w:rFonts w:ascii="Arial" w:hAnsi="Arial" w:cs="Arial"/>
          <w:b/>
          <w:sz w:val="24"/>
        </w:rPr>
        <w:t>1.</w:t>
      </w:r>
      <w:r w:rsidR="00EF4817" w:rsidRPr="00D95D60">
        <w:rPr>
          <w:rFonts w:ascii="Arial" w:hAnsi="Arial" w:cs="Arial"/>
          <w:b/>
          <w:sz w:val="24"/>
        </w:rPr>
        <w:t>Advocacy</w:t>
      </w:r>
      <w:proofErr w:type="gramEnd"/>
      <w:r w:rsidRPr="00D95D60">
        <w:rPr>
          <w:rFonts w:ascii="Arial" w:hAnsi="Arial" w:cs="Arial"/>
          <w:b/>
          <w:sz w:val="24"/>
          <w:lang w:val="en-AU"/>
        </w:rPr>
        <w:t xml:space="preserve"> </w:t>
      </w:r>
    </w:p>
    <w:p w:rsidR="00B21016" w:rsidRDefault="00EF4817" w:rsidP="00DC33EB">
      <w:pPr>
        <w:jc w:val="both"/>
        <w:rPr>
          <w:rFonts w:ascii="Arial" w:hAnsi="Arial" w:cs="Arial"/>
          <w:b/>
          <w:bCs/>
          <w:sz w:val="24"/>
        </w:rPr>
      </w:pPr>
      <w:r w:rsidRPr="00D95D60">
        <w:rPr>
          <w:rFonts w:ascii="Arial" w:hAnsi="Arial" w:cs="Arial"/>
          <w:sz w:val="24"/>
        </w:rPr>
        <w:t xml:space="preserve">Council regularly advocates for policy and </w:t>
      </w:r>
      <w:r w:rsidR="0055293B">
        <w:rPr>
          <w:rFonts w:ascii="Arial" w:hAnsi="Arial" w:cs="Arial"/>
          <w:sz w:val="24"/>
        </w:rPr>
        <w:t xml:space="preserve">legislative </w:t>
      </w:r>
      <w:r w:rsidRPr="00D95D60">
        <w:rPr>
          <w:rFonts w:ascii="Arial" w:hAnsi="Arial" w:cs="Arial"/>
          <w:sz w:val="24"/>
        </w:rPr>
        <w:t xml:space="preserve">changes that encourage the responsible provision of gambling and take account of the social and economic impacts of gambling on the </w:t>
      </w:r>
      <w:proofErr w:type="spellStart"/>
      <w:r w:rsidRPr="00D95D60">
        <w:rPr>
          <w:rFonts w:ascii="Arial" w:hAnsi="Arial" w:cs="Arial"/>
          <w:sz w:val="24"/>
        </w:rPr>
        <w:t>Maribyrnong</w:t>
      </w:r>
      <w:proofErr w:type="spellEnd"/>
      <w:r w:rsidRPr="00D95D60">
        <w:rPr>
          <w:rFonts w:ascii="Arial" w:hAnsi="Arial" w:cs="Arial"/>
          <w:sz w:val="24"/>
        </w:rPr>
        <w:t xml:space="preserve"> community.</w:t>
      </w:r>
      <w:r w:rsidRPr="00D95D60">
        <w:rPr>
          <w:rFonts w:ascii="Arial" w:hAnsi="Arial" w:cs="Arial"/>
          <w:b/>
          <w:bCs/>
          <w:sz w:val="24"/>
        </w:rPr>
        <w:t xml:space="preserve"> </w:t>
      </w:r>
    </w:p>
    <w:p w:rsidR="00DC33EB" w:rsidRDefault="00EF4817" w:rsidP="00DC33EB">
      <w:pPr>
        <w:jc w:val="both"/>
        <w:rPr>
          <w:rFonts w:ascii="Arial" w:hAnsi="Arial" w:cs="Arial"/>
          <w:sz w:val="24"/>
        </w:rPr>
      </w:pPr>
      <w:r w:rsidRPr="00D95D60">
        <w:rPr>
          <w:rFonts w:ascii="Arial" w:hAnsi="Arial" w:cs="Arial"/>
          <w:sz w:val="24"/>
        </w:rPr>
        <w:t>In particular, Council will continue to engage with the Australian and the Victorian Governments for better and more effective regulation and management of EGM gambling</w:t>
      </w:r>
      <w:r w:rsidR="00DC33EB" w:rsidRPr="00D95D60">
        <w:rPr>
          <w:rFonts w:ascii="Arial" w:hAnsi="Arial" w:cs="Arial"/>
          <w:sz w:val="24"/>
        </w:rPr>
        <w:t xml:space="preserve"> through its participation in the </w:t>
      </w:r>
      <w:r w:rsidR="0016797B">
        <w:rPr>
          <w:rFonts w:ascii="Arial" w:hAnsi="Arial" w:cs="Arial"/>
          <w:sz w:val="24"/>
        </w:rPr>
        <w:t>National Alliance for Gambling Reform</w:t>
      </w:r>
      <w:r w:rsidR="00417646">
        <w:rPr>
          <w:rFonts w:ascii="Arial" w:hAnsi="Arial" w:cs="Arial"/>
          <w:sz w:val="24"/>
        </w:rPr>
        <w:t xml:space="preserve">, </w:t>
      </w:r>
      <w:r w:rsidR="00DC33EB" w:rsidRPr="00D95D60">
        <w:rPr>
          <w:rFonts w:ascii="Arial" w:hAnsi="Arial" w:cs="Arial"/>
          <w:sz w:val="24"/>
        </w:rPr>
        <w:t>Local Government Working Group on Gam</w:t>
      </w:r>
      <w:r w:rsidR="00D60F5F">
        <w:rPr>
          <w:rFonts w:ascii="Arial" w:hAnsi="Arial" w:cs="Arial"/>
          <w:sz w:val="24"/>
        </w:rPr>
        <w:t>bl</w:t>
      </w:r>
      <w:r w:rsidR="00DC33EB" w:rsidRPr="00D95D60">
        <w:rPr>
          <w:rFonts w:ascii="Arial" w:hAnsi="Arial" w:cs="Arial"/>
          <w:sz w:val="24"/>
        </w:rPr>
        <w:t>ing and other key stakeholder advocacy groups</w:t>
      </w:r>
      <w:r w:rsidRPr="00D95D60">
        <w:rPr>
          <w:rFonts w:ascii="Arial" w:hAnsi="Arial" w:cs="Arial"/>
          <w:sz w:val="24"/>
        </w:rPr>
        <w:t xml:space="preserve">, with a view to reducing its harms to the greatest possible degree. </w:t>
      </w:r>
    </w:p>
    <w:p w:rsidR="00BF3609" w:rsidRDefault="00AD782F" w:rsidP="00DC33EB">
      <w:pPr>
        <w:jc w:val="both"/>
        <w:rPr>
          <w:rFonts w:ascii="Arial" w:hAnsi="Arial" w:cs="Arial"/>
          <w:sz w:val="24"/>
        </w:rPr>
      </w:pPr>
      <w:r>
        <w:rPr>
          <w:rFonts w:ascii="Arial" w:hAnsi="Arial" w:cs="Arial"/>
          <w:sz w:val="24"/>
        </w:rPr>
        <w:t>To support Council’s policy implementation and enhance its advocacy efforts, Council has developed a dedicated Council Gambling Advocacy Campaign</w:t>
      </w:r>
      <w:r w:rsidR="00C00354">
        <w:rPr>
          <w:rFonts w:ascii="Arial" w:hAnsi="Arial" w:cs="Arial"/>
          <w:sz w:val="24"/>
        </w:rPr>
        <w:t xml:space="preserve"> 2015/16</w:t>
      </w:r>
      <w:r>
        <w:rPr>
          <w:rFonts w:ascii="Arial" w:hAnsi="Arial" w:cs="Arial"/>
          <w:sz w:val="24"/>
        </w:rPr>
        <w:t>, which was adopted by Council in August 2015.</w:t>
      </w:r>
      <w:r w:rsidR="00F35664">
        <w:rPr>
          <w:rFonts w:ascii="Arial" w:hAnsi="Arial" w:cs="Arial"/>
          <w:sz w:val="24"/>
        </w:rPr>
        <w:t xml:space="preserve"> A copy of the Gambling Advoc</w:t>
      </w:r>
      <w:r w:rsidR="0021284F">
        <w:rPr>
          <w:rFonts w:ascii="Arial" w:hAnsi="Arial" w:cs="Arial"/>
          <w:sz w:val="24"/>
        </w:rPr>
        <w:t>acy Action Plan is at Appendix 2</w:t>
      </w:r>
      <w:r w:rsidR="00F35664">
        <w:rPr>
          <w:rFonts w:ascii="Arial" w:hAnsi="Arial" w:cs="Arial"/>
          <w:sz w:val="24"/>
        </w:rPr>
        <w:t>.</w:t>
      </w:r>
    </w:p>
    <w:p w:rsidR="00AD782F" w:rsidRPr="00D95D60" w:rsidRDefault="00E93762" w:rsidP="00DC33EB">
      <w:pPr>
        <w:jc w:val="both"/>
        <w:rPr>
          <w:rFonts w:ascii="Arial" w:hAnsi="Arial" w:cs="Arial"/>
          <w:sz w:val="24"/>
        </w:rPr>
      </w:pPr>
      <w:r>
        <w:rPr>
          <w:rFonts w:ascii="Arial" w:hAnsi="Arial" w:cs="Arial"/>
          <w:sz w:val="24"/>
        </w:rPr>
        <w:t>The key message</w:t>
      </w:r>
      <w:r w:rsidR="00843F8B">
        <w:rPr>
          <w:rFonts w:ascii="Arial" w:hAnsi="Arial" w:cs="Arial"/>
          <w:sz w:val="24"/>
        </w:rPr>
        <w:t>s</w:t>
      </w:r>
      <w:r>
        <w:rPr>
          <w:rFonts w:ascii="Arial" w:hAnsi="Arial" w:cs="Arial"/>
          <w:sz w:val="24"/>
        </w:rPr>
        <w:t xml:space="preserve"> from the Gambling Advocacy Campaign include the following:</w:t>
      </w:r>
    </w:p>
    <w:tbl>
      <w:tblPr>
        <w:tblStyle w:val="TableGrid"/>
        <w:tblW w:w="0" w:type="auto"/>
        <w:tblLook w:val="04A0" w:firstRow="1" w:lastRow="0" w:firstColumn="1" w:lastColumn="0" w:noHBand="0" w:noVBand="1"/>
      </w:tblPr>
      <w:tblGrid>
        <w:gridCol w:w="550"/>
        <w:gridCol w:w="8080"/>
      </w:tblGrid>
      <w:tr w:rsidR="00DC33EB" w:rsidRPr="00D95D60" w:rsidTr="00DC33EB">
        <w:tc>
          <w:tcPr>
            <w:tcW w:w="550" w:type="dxa"/>
          </w:tcPr>
          <w:p w:rsidR="00DC33EB" w:rsidRPr="00D95D60" w:rsidRDefault="00DC33EB" w:rsidP="00DC33EB">
            <w:pPr>
              <w:jc w:val="both"/>
              <w:rPr>
                <w:rFonts w:ascii="Arial" w:hAnsi="Arial" w:cs="Arial"/>
                <w:sz w:val="24"/>
              </w:rPr>
            </w:pPr>
            <w:r w:rsidRPr="00D95D60">
              <w:rPr>
                <w:rFonts w:ascii="Arial" w:hAnsi="Arial" w:cs="Arial"/>
                <w:sz w:val="24"/>
              </w:rPr>
              <w:t>1.1</w:t>
            </w:r>
          </w:p>
        </w:tc>
        <w:tc>
          <w:tcPr>
            <w:tcW w:w="8306" w:type="dxa"/>
          </w:tcPr>
          <w:p w:rsidR="00DC33EB" w:rsidRPr="00D95D60" w:rsidRDefault="00D855EE" w:rsidP="00D855EE">
            <w:pPr>
              <w:spacing w:after="0"/>
              <w:jc w:val="both"/>
              <w:rPr>
                <w:rFonts w:ascii="Arial" w:hAnsi="Arial" w:cs="Arial"/>
                <w:sz w:val="24"/>
              </w:rPr>
            </w:pPr>
            <w:r>
              <w:rPr>
                <w:rFonts w:ascii="Arial" w:hAnsi="Arial" w:cs="Arial"/>
                <w:sz w:val="24"/>
              </w:rPr>
              <w:t xml:space="preserve">Advocate to State Government for the introduction of a </w:t>
            </w:r>
            <w:r w:rsidR="00F35664" w:rsidRPr="00E93762">
              <w:rPr>
                <w:rFonts w:ascii="Arial" w:hAnsi="Arial" w:cs="Arial"/>
                <w:sz w:val="24"/>
              </w:rPr>
              <w:t>$1 maximum bet limit for</w:t>
            </w:r>
            <w:r w:rsidR="00F35664" w:rsidRPr="00E93762">
              <w:rPr>
                <w:rFonts w:ascii="Arial" w:hAnsi="Arial" w:cs="Arial"/>
                <w:b/>
                <w:sz w:val="24"/>
              </w:rPr>
              <w:t xml:space="preserve"> </w:t>
            </w:r>
            <w:r w:rsidR="00F35664" w:rsidRPr="00E93762">
              <w:rPr>
                <w:rFonts w:ascii="Arial" w:hAnsi="Arial" w:cs="Arial"/>
                <w:sz w:val="24"/>
              </w:rPr>
              <w:t>EGMs</w:t>
            </w:r>
            <w:r w:rsidR="00F35664">
              <w:rPr>
                <w:rFonts w:ascii="Arial" w:hAnsi="Arial" w:cs="Arial"/>
                <w:sz w:val="24"/>
              </w:rPr>
              <w:t xml:space="preserve"> </w:t>
            </w:r>
            <w:r w:rsidR="00E93762">
              <w:rPr>
                <w:rFonts w:ascii="Arial" w:hAnsi="Arial" w:cs="Arial"/>
                <w:sz w:val="24"/>
              </w:rPr>
              <w:t>with a maximum $120.00 limit per hour</w:t>
            </w:r>
            <w:r>
              <w:rPr>
                <w:rFonts w:ascii="Arial" w:hAnsi="Arial" w:cs="Arial"/>
                <w:sz w:val="24"/>
              </w:rPr>
              <w:t xml:space="preserve">. This </w:t>
            </w:r>
            <w:r w:rsidR="00E93762">
              <w:rPr>
                <w:rFonts w:ascii="Arial" w:hAnsi="Arial" w:cs="Arial"/>
                <w:sz w:val="24"/>
              </w:rPr>
              <w:t>should be phased in over a period of five years commencing as soon as possible</w:t>
            </w:r>
            <w:r>
              <w:rPr>
                <w:rFonts w:ascii="Arial" w:hAnsi="Arial" w:cs="Arial"/>
                <w:sz w:val="24"/>
              </w:rPr>
              <w:t>.</w:t>
            </w:r>
          </w:p>
        </w:tc>
      </w:tr>
      <w:tr w:rsidR="00DC33EB" w:rsidRPr="00D95D60" w:rsidTr="00DC33EB">
        <w:tc>
          <w:tcPr>
            <w:tcW w:w="550" w:type="dxa"/>
          </w:tcPr>
          <w:p w:rsidR="00DC33EB" w:rsidRPr="00D95D60" w:rsidRDefault="00E93762" w:rsidP="00DC33EB">
            <w:pPr>
              <w:jc w:val="both"/>
              <w:rPr>
                <w:rFonts w:ascii="Arial" w:hAnsi="Arial" w:cs="Arial"/>
                <w:sz w:val="24"/>
              </w:rPr>
            </w:pPr>
            <w:r>
              <w:rPr>
                <w:rFonts w:ascii="Arial" w:hAnsi="Arial" w:cs="Arial"/>
                <w:sz w:val="24"/>
              </w:rPr>
              <w:t>1.2</w:t>
            </w:r>
          </w:p>
        </w:tc>
        <w:tc>
          <w:tcPr>
            <w:tcW w:w="8306" w:type="dxa"/>
          </w:tcPr>
          <w:p w:rsidR="00DC33EB" w:rsidRPr="00D95D60" w:rsidRDefault="00F716C6" w:rsidP="00F716C6">
            <w:pPr>
              <w:spacing w:after="0"/>
              <w:jc w:val="both"/>
              <w:rPr>
                <w:rFonts w:ascii="Arial" w:hAnsi="Arial" w:cs="Arial"/>
                <w:sz w:val="24"/>
              </w:rPr>
            </w:pPr>
            <w:r>
              <w:rPr>
                <w:rFonts w:ascii="Arial" w:hAnsi="Arial" w:cs="Arial"/>
                <w:sz w:val="24"/>
              </w:rPr>
              <w:t>Advocate to the State Government to r</w:t>
            </w:r>
            <w:r w:rsidR="00E93762" w:rsidRPr="00E93762">
              <w:rPr>
                <w:rFonts w:ascii="Arial" w:hAnsi="Arial" w:cs="Arial"/>
                <w:sz w:val="24"/>
              </w:rPr>
              <w:t>educe EGM caps in disadvantaged areas</w:t>
            </w:r>
            <w:r>
              <w:rPr>
                <w:rFonts w:ascii="Arial" w:hAnsi="Arial" w:cs="Arial"/>
                <w:sz w:val="24"/>
              </w:rPr>
              <w:t>, such as Braybrook, which has an EGM density of 15 per 1000 adults.</w:t>
            </w:r>
          </w:p>
        </w:tc>
      </w:tr>
      <w:tr w:rsidR="00DC33EB" w:rsidRPr="00D95D60" w:rsidTr="00DC33EB">
        <w:tc>
          <w:tcPr>
            <w:tcW w:w="550" w:type="dxa"/>
          </w:tcPr>
          <w:p w:rsidR="00DC33EB" w:rsidRPr="00D95D60" w:rsidRDefault="00CC2326" w:rsidP="00DC33EB">
            <w:pPr>
              <w:jc w:val="both"/>
              <w:rPr>
                <w:rFonts w:ascii="Arial" w:hAnsi="Arial" w:cs="Arial"/>
                <w:sz w:val="24"/>
              </w:rPr>
            </w:pPr>
            <w:r>
              <w:rPr>
                <w:rFonts w:ascii="Arial" w:hAnsi="Arial" w:cs="Arial"/>
                <w:sz w:val="24"/>
              </w:rPr>
              <w:t>1.3</w:t>
            </w:r>
          </w:p>
        </w:tc>
        <w:tc>
          <w:tcPr>
            <w:tcW w:w="8306" w:type="dxa"/>
          </w:tcPr>
          <w:p w:rsidR="00DC33EB" w:rsidRPr="00D95D60" w:rsidRDefault="00F716C6" w:rsidP="00F716C6">
            <w:pPr>
              <w:spacing w:after="0"/>
              <w:jc w:val="both"/>
              <w:rPr>
                <w:rFonts w:ascii="Arial" w:hAnsi="Arial" w:cs="Arial"/>
                <w:sz w:val="24"/>
              </w:rPr>
            </w:pPr>
            <w:r>
              <w:rPr>
                <w:rFonts w:ascii="Arial" w:hAnsi="Arial" w:cs="Arial"/>
                <w:sz w:val="24"/>
              </w:rPr>
              <w:t>Advocate to the State Government to g</w:t>
            </w:r>
            <w:r w:rsidR="00CC2326">
              <w:rPr>
                <w:rFonts w:ascii="Arial" w:hAnsi="Arial" w:cs="Arial"/>
                <w:sz w:val="24"/>
              </w:rPr>
              <w:t>ive Council 90 days to consider applications to the VCGLR by gaming venues to increase the number of gaming machines</w:t>
            </w:r>
            <w:r w:rsidR="00DA1433">
              <w:rPr>
                <w:rFonts w:ascii="Arial" w:hAnsi="Arial" w:cs="Arial"/>
                <w:sz w:val="24"/>
              </w:rPr>
              <w:t>.</w:t>
            </w:r>
          </w:p>
        </w:tc>
      </w:tr>
      <w:tr w:rsidR="00CC2326" w:rsidRPr="00D95D60" w:rsidTr="00EB02CD">
        <w:tc>
          <w:tcPr>
            <w:tcW w:w="550" w:type="dxa"/>
          </w:tcPr>
          <w:p w:rsidR="00CC2326" w:rsidRPr="00D95D60" w:rsidRDefault="00CC2326" w:rsidP="00EB02CD">
            <w:pPr>
              <w:jc w:val="both"/>
              <w:rPr>
                <w:rFonts w:ascii="Arial" w:hAnsi="Arial" w:cs="Arial"/>
                <w:sz w:val="24"/>
              </w:rPr>
            </w:pPr>
            <w:r>
              <w:rPr>
                <w:rFonts w:ascii="Arial" w:hAnsi="Arial" w:cs="Arial"/>
                <w:sz w:val="24"/>
              </w:rPr>
              <w:t>1.4</w:t>
            </w:r>
          </w:p>
        </w:tc>
        <w:tc>
          <w:tcPr>
            <w:tcW w:w="8306" w:type="dxa"/>
          </w:tcPr>
          <w:p w:rsidR="00CC2326" w:rsidRPr="00D95D60" w:rsidRDefault="00F716C6" w:rsidP="00F716C6">
            <w:pPr>
              <w:spacing w:after="0"/>
              <w:jc w:val="both"/>
              <w:rPr>
                <w:rFonts w:ascii="Arial" w:hAnsi="Arial" w:cs="Arial"/>
                <w:sz w:val="24"/>
              </w:rPr>
            </w:pPr>
            <w:r>
              <w:rPr>
                <w:rFonts w:ascii="Arial" w:hAnsi="Arial" w:cs="Arial"/>
                <w:sz w:val="24"/>
              </w:rPr>
              <w:t>Advocate to the State Government to provide c</w:t>
            </w:r>
            <w:r w:rsidR="00CC2326">
              <w:rPr>
                <w:rFonts w:ascii="Arial" w:hAnsi="Arial" w:cs="Arial"/>
                <w:sz w:val="24"/>
              </w:rPr>
              <w:t>lear direction and definition for the determination of community benefit for EGM applications</w:t>
            </w:r>
          </w:p>
        </w:tc>
      </w:tr>
      <w:tr w:rsidR="00FF12FE" w:rsidRPr="00D95D60" w:rsidTr="00DC33EB">
        <w:tc>
          <w:tcPr>
            <w:tcW w:w="550" w:type="dxa"/>
          </w:tcPr>
          <w:p w:rsidR="00FF12FE" w:rsidRDefault="00FF12FE" w:rsidP="001C133A">
            <w:pPr>
              <w:jc w:val="both"/>
              <w:rPr>
                <w:rFonts w:ascii="Arial" w:hAnsi="Arial" w:cs="Arial"/>
                <w:sz w:val="24"/>
              </w:rPr>
            </w:pPr>
            <w:r>
              <w:rPr>
                <w:rFonts w:ascii="Arial" w:hAnsi="Arial" w:cs="Arial"/>
                <w:sz w:val="24"/>
              </w:rPr>
              <w:t>1.6</w:t>
            </w:r>
          </w:p>
        </w:tc>
        <w:tc>
          <w:tcPr>
            <w:tcW w:w="8306" w:type="dxa"/>
          </w:tcPr>
          <w:p w:rsidR="00FF12FE" w:rsidRDefault="00FF12FE" w:rsidP="001C133A">
            <w:pPr>
              <w:spacing w:after="0"/>
              <w:jc w:val="both"/>
              <w:rPr>
                <w:rFonts w:ascii="Arial" w:hAnsi="Arial" w:cs="Arial"/>
                <w:sz w:val="24"/>
              </w:rPr>
            </w:pPr>
            <w:r>
              <w:rPr>
                <w:rFonts w:ascii="Arial" w:hAnsi="Arial" w:cs="Arial"/>
                <w:sz w:val="24"/>
              </w:rPr>
              <w:t>Advocate to the State Government to amend t</w:t>
            </w:r>
            <w:r w:rsidRPr="00D904F9">
              <w:rPr>
                <w:rFonts w:ascii="Arial" w:hAnsi="Arial" w:cs="Arial"/>
                <w:sz w:val="24"/>
              </w:rPr>
              <w:t xml:space="preserve">he definition of what is classified as community benefit </w:t>
            </w:r>
            <w:r>
              <w:rPr>
                <w:rFonts w:ascii="Arial" w:hAnsi="Arial" w:cs="Arial"/>
                <w:sz w:val="24"/>
              </w:rPr>
              <w:t>associated with community benefit statements</w:t>
            </w:r>
            <w:r w:rsidR="00CD10C1">
              <w:rPr>
                <w:rFonts w:ascii="Arial" w:hAnsi="Arial" w:cs="Arial"/>
                <w:sz w:val="24"/>
              </w:rPr>
              <w:t xml:space="preserve">. The definition </w:t>
            </w:r>
            <w:r w:rsidRPr="00D904F9">
              <w:rPr>
                <w:rFonts w:ascii="Arial" w:hAnsi="Arial" w:cs="Arial"/>
                <w:sz w:val="24"/>
              </w:rPr>
              <w:t xml:space="preserve">should be restricted to genuine philanthropic organisations or charities as defined by tax deductable status or grass routes activities. </w:t>
            </w:r>
          </w:p>
        </w:tc>
      </w:tr>
      <w:tr w:rsidR="00DC33EB" w:rsidRPr="00D95D60" w:rsidTr="00DC33EB">
        <w:tc>
          <w:tcPr>
            <w:tcW w:w="550" w:type="dxa"/>
          </w:tcPr>
          <w:p w:rsidR="00DC33EB" w:rsidRPr="00D95D60" w:rsidRDefault="00CC2326" w:rsidP="00DC33EB">
            <w:pPr>
              <w:jc w:val="both"/>
              <w:rPr>
                <w:rFonts w:ascii="Arial" w:hAnsi="Arial" w:cs="Arial"/>
                <w:sz w:val="24"/>
              </w:rPr>
            </w:pPr>
            <w:r>
              <w:rPr>
                <w:rFonts w:ascii="Arial" w:hAnsi="Arial" w:cs="Arial"/>
                <w:sz w:val="24"/>
              </w:rPr>
              <w:t>1.5</w:t>
            </w:r>
          </w:p>
        </w:tc>
        <w:tc>
          <w:tcPr>
            <w:tcW w:w="8306" w:type="dxa"/>
          </w:tcPr>
          <w:p w:rsidR="00DC33EB" w:rsidRPr="00CC2326" w:rsidRDefault="00843F8B" w:rsidP="00FF12FE">
            <w:pPr>
              <w:spacing w:after="0"/>
              <w:jc w:val="both"/>
              <w:rPr>
                <w:rFonts w:ascii="Arial" w:hAnsi="Arial" w:cs="Arial"/>
                <w:sz w:val="24"/>
              </w:rPr>
            </w:pPr>
            <w:r w:rsidRPr="00D95D60">
              <w:rPr>
                <w:rFonts w:ascii="Arial" w:hAnsi="Arial" w:cs="Arial"/>
                <w:sz w:val="24"/>
              </w:rPr>
              <w:t>Enc</w:t>
            </w:r>
            <w:r w:rsidR="00FF12FE">
              <w:rPr>
                <w:rFonts w:ascii="Arial" w:hAnsi="Arial" w:cs="Arial"/>
                <w:sz w:val="24"/>
              </w:rPr>
              <w:t>ourage the State Government to p</w:t>
            </w:r>
            <w:r w:rsidRPr="00D95D60">
              <w:rPr>
                <w:rFonts w:ascii="Arial" w:hAnsi="Arial" w:cs="Arial"/>
                <w:sz w:val="24"/>
              </w:rPr>
              <w:t>rovide greater transparency in the distribution of the State Government Community Support Fund on a municipal basis</w:t>
            </w:r>
            <w:r w:rsidR="00FF12FE">
              <w:rPr>
                <w:rFonts w:ascii="Arial" w:hAnsi="Arial" w:cs="Arial"/>
                <w:sz w:val="24"/>
              </w:rPr>
              <w:t>.</w:t>
            </w:r>
          </w:p>
        </w:tc>
      </w:tr>
      <w:tr w:rsidR="00E93762" w:rsidRPr="00D95D60" w:rsidTr="00DC33EB">
        <w:tc>
          <w:tcPr>
            <w:tcW w:w="550" w:type="dxa"/>
          </w:tcPr>
          <w:p w:rsidR="00E93762" w:rsidRPr="00D95D60" w:rsidRDefault="00CC2326" w:rsidP="00EB02CD">
            <w:pPr>
              <w:jc w:val="both"/>
              <w:rPr>
                <w:rFonts w:ascii="Arial" w:hAnsi="Arial" w:cs="Arial"/>
                <w:sz w:val="24"/>
              </w:rPr>
            </w:pPr>
            <w:r>
              <w:rPr>
                <w:rFonts w:ascii="Arial" w:hAnsi="Arial" w:cs="Arial"/>
                <w:sz w:val="24"/>
              </w:rPr>
              <w:t>1.</w:t>
            </w:r>
            <w:r w:rsidR="007F466E">
              <w:rPr>
                <w:rFonts w:ascii="Arial" w:hAnsi="Arial" w:cs="Arial"/>
                <w:sz w:val="24"/>
              </w:rPr>
              <w:t>7</w:t>
            </w:r>
          </w:p>
        </w:tc>
        <w:tc>
          <w:tcPr>
            <w:tcW w:w="8306" w:type="dxa"/>
          </w:tcPr>
          <w:p w:rsidR="00E93762" w:rsidRPr="00D95D60" w:rsidRDefault="00E93762" w:rsidP="00EB02CD">
            <w:pPr>
              <w:spacing w:after="0"/>
              <w:jc w:val="both"/>
              <w:rPr>
                <w:rFonts w:ascii="Arial" w:hAnsi="Arial" w:cs="Arial"/>
                <w:sz w:val="24"/>
              </w:rPr>
            </w:pPr>
            <w:r>
              <w:rPr>
                <w:rFonts w:ascii="Arial" w:hAnsi="Arial" w:cs="Arial"/>
                <w:sz w:val="24"/>
              </w:rPr>
              <w:t>Advocate to the State Government to amend the Victorian Planning Provisions to prohibit or discourage the opportunity for the co-location of residential dwellings in gaming venues.</w:t>
            </w:r>
          </w:p>
        </w:tc>
      </w:tr>
      <w:tr w:rsidR="00F35664" w:rsidRPr="00D95D60" w:rsidTr="00DC33EB">
        <w:tc>
          <w:tcPr>
            <w:tcW w:w="550" w:type="dxa"/>
          </w:tcPr>
          <w:p w:rsidR="00F35664" w:rsidRPr="00D95D60" w:rsidRDefault="00F35664" w:rsidP="00EB02CD">
            <w:pPr>
              <w:jc w:val="both"/>
              <w:rPr>
                <w:rFonts w:ascii="Arial" w:hAnsi="Arial" w:cs="Arial"/>
                <w:sz w:val="24"/>
              </w:rPr>
            </w:pPr>
            <w:r w:rsidRPr="00D95D60">
              <w:rPr>
                <w:rFonts w:ascii="Arial" w:hAnsi="Arial" w:cs="Arial"/>
                <w:sz w:val="24"/>
              </w:rPr>
              <w:t>1.</w:t>
            </w:r>
            <w:r w:rsidR="007F466E">
              <w:rPr>
                <w:rFonts w:ascii="Arial" w:hAnsi="Arial" w:cs="Arial"/>
                <w:sz w:val="24"/>
              </w:rPr>
              <w:t>8</w:t>
            </w:r>
          </w:p>
        </w:tc>
        <w:tc>
          <w:tcPr>
            <w:tcW w:w="8306" w:type="dxa"/>
          </w:tcPr>
          <w:p w:rsidR="00F35664" w:rsidRPr="00D95D60" w:rsidRDefault="00F35664" w:rsidP="00D904F9">
            <w:pPr>
              <w:spacing w:after="0"/>
              <w:jc w:val="both"/>
              <w:rPr>
                <w:rFonts w:ascii="Arial" w:hAnsi="Arial" w:cs="Arial"/>
                <w:sz w:val="24"/>
              </w:rPr>
            </w:pPr>
            <w:r w:rsidRPr="00D95D60">
              <w:rPr>
                <w:rFonts w:ascii="Arial" w:hAnsi="Arial" w:cs="Arial"/>
                <w:sz w:val="24"/>
              </w:rPr>
              <w:t xml:space="preserve">Advocate to the </w:t>
            </w:r>
            <w:r w:rsidR="00D904F9" w:rsidRPr="00D95D60">
              <w:rPr>
                <w:rFonts w:ascii="Arial" w:hAnsi="Arial" w:cs="Arial"/>
                <w:sz w:val="24"/>
              </w:rPr>
              <w:t xml:space="preserve">Commonwealth </w:t>
            </w:r>
            <w:r w:rsidR="00D904F9">
              <w:rPr>
                <w:rFonts w:ascii="Arial" w:hAnsi="Arial" w:cs="Arial"/>
                <w:sz w:val="24"/>
              </w:rPr>
              <w:t xml:space="preserve">Government </w:t>
            </w:r>
            <w:r w:rsidR="00D855EE">
              <w:rPr>
                <w:rFonts w:ascii="Arial" w:hAnsi="Arial" w:cs="Arial"/>
                <w:sz w:val="24"/>
              </w:rPr>
              <w:t>for changes to the</w:t>
            </w:r>
            <w:r w:rsidRPr="00D95D60">
              <w:rPr>
                <w:rFonts w:ascii="Arial" w:hAnsi="Arial" w:cs="Arial"/>
                <w:sz w:val="24"/>
              </w:rPr>
              <w:t xml:space="preserve"> </w:t>
            </w:r>
            <w:r w:rsidRPr="00D95D60">
              <w:rPr>
                <w:rFonts w:ascii="Arial" w:hAnsi="Arial" w:cs="Arial"/>
                <w:i/>
                <w:iCs/>
                <w:sz w:val="24"/>
              </w:rPr>
              <w:t xml:space="preserve">Interactive Gambling Act 2001 </w:t>
            </w:r>
            <w:r w:rsidRPr="00D95D60">
              <w:rPr>
                <w:rFonts w:ascii="Arial" w:hAnsi="Arial" w:cs="Arial"/>
                <w:sz w:val="24"/>
              </w:rPr>
              <w:t xml:space="preserve">to strengthen regulation of online gambling and associated advertising. </w:t>
            </w:r>
          </w:p>
        </w:tc>
      </w:tr>
    </w:tbl>
    <w:p w:rsidR="00E22A57" w:rsidRDefault="00E22A57" w:rsidP="00DC33EB">
      <w:pPr>
        <w:jc w:val="both"/>
        <w:rPr>
          <w:rFonts w:ascii="Arial" w:hAnsi="Arial" w:cs="Arial"/>
          <w:b/>
          <w:sz w:val="24"/>
        </w:rPr>
      </w:pPr>
    </w:p>
    <w:p w:rsidR="00EF4817" w:rsidRPr="00D95D60" w:rsidRDefault="00DC33EB" w:rsidP="00DC33EB">
      <w:pPr>
        <w:jc w:val="both"/>
        <w:rPr>
          <w:rFonts w:ascii="Arial" w:hAnsi="Arial" w:cs="Arial"/>
          <w:sz w:val="24"/>
        </w:rPr>
      </w:pPr>
      <w:r w:rsidRPr="00D95D60">
        <w:rPr>
          <w:rFonts w:ascii="Arial" w:hAnsi="Arial" w:cs="Arial"/>
          <w:b/>
          <w:sz w:val="24"/>
        </w:rPr>
        <w:t xml:space="preserve">2. </w:t>
      </w:r>
      <w:r w:rsidR="00EF4817" w:rsidRPr="00D95D60">
        <w:rPr>
          <w:rFonts w:ascii="Arial" w:hAnsi="Arial" w:cs="Arial"/>
          <w:b/>
          <w:sz w:val="24"/>
        </w:rPr>
        <w:t>Engagement</w:t>
      </w:r>
      <w:r w:rsidRPr="00D95D60">
        <w:rPr>
          <w:rFonts w:ascii="Arial" w:hAnsi="Arial" w:cs="Arial"/>
          <w:b/>
          <w:sz w:val="24"/>
        </w:rPr>
        <w:t xml:space="preserve"> </w:t>
      </w:r>
    </w:p>
    <w:p w:rsidR="008E0E28" w:rsidRDefault="00E93762" w:rsidP="00DC33EB">
      <w:pPr>
        <w:jc w:val="both"/>
        <w:rPr>
          <w:rFonts w:ascii="Arial" w:hAnsi="Arial" w:cs="Arial"/>
          <w:sz w:val="24"/>
        </w:rPr>
      </w:pPr>
      <w:r>
        <w:rPr>
          <w:rFonts w:ascii="Arial" w:hAnsi="Arial" w:cs="Arial"/>
          <w:sz w:val="24"/>
        </w:rPr>
        <w:t>As part of the Gambling Advocacy Campaign, Council will</w:t>
      </w:r>
      <w:r w:rsidR="00A37771">
        <w:rPr>
          <w:rFonts w:ascii="Arial" w:hAnsi="Arial" w:cs="Arial"/>
          <w:sz w:val="24"/>
        </w:rPr>
        <w:t xml:space="preserve"> continue to support engagement</w:t>
      </w:r>
      <w:r>
        <w:rPr>
          <w:rFonts w:ascii="Arial" w:hAnsi="Arial" w:cs="Arial"/>
          <w:sz w:val="24"/>
        </w:rPr>
        <w:t xml:space="preserve"> activities that help prevent </w:t>
      </w:r>
      <w:r w:rsidR="00AC6957">
        <w:rPr>
          <w:rFonts w:ascii="Arial" w:hAnsi="Arial" w:cs="Arial"/>
          <w:sz w:val="24"/>
        </w:rPr>
        <w:t>harm ca</w:t>
      </w:r>
      <w:r w:rsidR="00FB39E5">
        <w:rPr>
          <w:rFonts w:ascii="Arial" w:hAnsi="Arial" w:cs="Arial"/>
          <w:sz w:val="24"/>
        </w:rPr>
        <w:t>use</w:t>
      </w:r>
      <w:r w:rsidR="00AC6957">
        <w:rPr>
          <w:rFonts w:ascii="Arial" w:hAnsi="Arial" w:cs="Arial"/>
          <w:sz w:val="24"/>
        </w:rPr>
        <w:t xml:space="preserve">d by </w:t>
      </w:r>
      <w:r>
        <w:rPr>
          <w:rFonts w:ascii="Arial" w:hAnsi="Arial" w:cs="Arial"/>
          <w:sz w:val="24"/>
        </w:rPr>
        <w:t>gambl</w:t>
      </w:r>
      <w:r w:rsidR="006B3CAA">
        <w:rPr>
          <w:rFonts w:ascii="Arial" w:hAnsi="Arial" w:cs="Arial"/>
          <w:sz w:val="24"/>
        </w:rPr>
        <w:t>ing and support problem gamblers</w:t>
      </w:r>
      <w:r>
        <w:rPr>
          <w:rFonts w:ascii="Arial" w:hAnsi="Arial" w:cs="Arial"/>
          <w:sz w:val="24"/>
        </w:rPr>
        <w:t xml:space="preserve"> and their families.</w:t>
      </w:r>
    </w:p>
    <w:p w:rsidR="008E0E28" w:rsidRDefault="008E0E28" w:rsidP="00DC33EB">
      <w:pPr>
        <w:jc w:val="both"/>
        <w:rPr>
          <w:rFonts w:ascii="Arial" w:hAnsi="Arial" w:cs="Arial"/>
          <w:b/>
          <w:sz w:val="24"/>
        </w:rPr>
      </w:pPr>
      <w:r w:rsidRPr="00177C78">
        <w:rPr>
          <w:rFonts w:ascii="Arial" w:hAnsi="Arial" w:cs="Arial"/>
          <w:b/>
          <w:sz w:val="24"/>
        </w:rPr>
        <w:t>Engagement actions:</w:t>
      </w:r>
    </w:p>
    <w:tbl>
      <w:tblPr>
        <w:tblStyle w:val="TableGrid"/>
        <w:tblW w:w="0" w:type="auto"/>
        <w:tblLook w:val="04A0" w:firstRow="1" w:lastRow="0" w:firstColumn="1" w:lastColumn="0" w:noHBand="0" w:noVBand="1"/>
      </w:tblPr>
      <w:tblGrid>
        <w:gridCol w:w="550"/>
        <w:gridCol w:w="8080"/>
      </w:tblGrid>
      <w:tr w:rsidR="00AA07A8" w:rsidRPr="00D95D60" w:rsidTr="003D03F8">
        <w:tc>
          <w:tcPr>
            <w:tcW w:w="550" w:type="dxa"/>
          </w:tcPr>
          <w:p w:rsidR="00AA07A8" w:rsidRPr="00D95D60" w:rsidRDefault="00AA07A8" w:rsidP="003D03F8">
            <w:pPr>
              <w:jc w:val="both"/>
              <w:rPr>
                <w:rFonts w:ascii="Arial" w:hAnsi="Arial" w:cs="Arial"/>
                <w:sz w:val="24"/>
              </w:rPr>
            </w:pPr>
            <w:r>
              <w:rPr>
                <w:rFonts w:ascii="Arial" w:hAnsi="Arial" w:cs="Arial"/>
                <w:sz w:val="24"/>
              </w:rPr>
              <w:t>2</w:t>
            </w:r>
            <w:r w:rsidRPr="00D95D60">
              <w:rPr>
                <w:rFonts w:ascii="Arial" w:hAnsi="Arial" w:cs="Arial"/>
                <w:sz w:val="24"/>
              </w:rPr>
              <w:t>.1</w:t>
            </w:r>
          </w:p>
        </w:tc>
        <w:tc>
          <w:tcPr>
            <w:tcW w:w="8306" w:type="dxa"/>
          </w:tcPr>
          <w:p w:rsidR="00AA07A8" w:rsidRPr="003A2524" w:rsidRDefault="00AA07A8" w:rsidP="00EF641E">
            <w:pPr>
              <w:jc w:val="both"/>
              <w:rPr>
                <w:rFonts w:ascii="Arial" w:hAnsi="Arial" w:cs="Arial"/>
                <w:sz w:val="24"/>
              </w:rPr>
            </w:pPr>
            <w:r w:rsidRPr="003A2524">
              <w:rPr>
                <w:rFonts w:ascii="Arial" w:hAnsi="Arial" w:cs="Arial"/>
                <w:sz w:val="24"/>
              </w:rPr>
              <w:t xml:space="preserve">Promote the key messages </w:t>
            </w:r>
            <w:r w:rsidR="00EF641E" w:rsidRPr="003A2524">
              <w:rPr>
                <w:rFonts w:ascii="Arial" w:hAnsi="Arial" w:cs="Arial"/>
                <w:sz w:val="24"/>
              </w:rPr>
              <w:t xml:space="preserve">of </w:t>
            </w:r>
            <w:r w:rsidRPr="003A2524">
              <w:rPr>
                <w:rFonts w:ascii="Arial" w:hAnsi="Arial" w:cs="Arial"/>
                <w:sz w:val="24"/>
              </w:rPr>
              <w:t>the National Alliance for Gambling Reform to the City of Maribyrnong community. The Alliance seeks to campaign for reforms to the gambling industry to reduce harm from gambling.</w:t>
            </w:r>
          </w:p>
        </w:tc>
      </w:tr>
      <w:tr w:rsidR="00AA07A8" w:rsidRPr="00D95D60" w:rsidTr="003D03F8">
        <w:tc>
          <w:tcPr>
            <w:tcW w:w="550" w:type="dxa"/>
          </w:tcPr>
          <w:p w:rsidR="00AA07A8" w:rsidRPr="00D95D60" w:rsidRDefault="00AA07A8" w:rsidP="003D03F8">
            <w:pPr>
              <w:jc w:val="both"/>
              <w:rPr>
                <w:rFonts w:ascii="Arial" w:hAnsi="Arial" w:cs="Arial"/>
                <w:sz w:val="24"/>
              </w:rPr>
            </w:pPr>
            <w:r>
              <w:rPr>
                <w:rFonts w:ascii="Arial" w:hAnsi="Arial" w:cs="Arial"/>
                <w:sz w:val="24"/>
              </w:rPr>
              <w:t>2.2</w:t>
            </w:r>
          </w:p>
        </w:tc>
        <w:tc>
          <w:tcPr>
            <w:tcW w:w="8306" w:type="dxa"/>
          </w:tcPr>
          <w:p w:rsidR="00AA07A8" w:rsidRPr="003A2524" w:rsidRDefault="00AA07A8" w:rsidP="00AA07A8">
            <w:pPr>
              <w:jc w:val="both"/>
              <w:rPr>
                <w:rFonts w:ascii="Arial" w:hAnsi="Arial" w:cs="Arial"/>
                <w:sz w:val="24"/>
              </w:rPr>
            </w:pPr>
            <w:r w:rsidRPr="003A2524">
              <w:rPr>
                <w:rFonts w:ascii="Arial" w:hAnsi="Arial" w:cs="Arial"/>
                <w:sz w:val="24"/>
              </w:rPr>
              <w:t xml:space="preserve">Support and promote gambling prevention programs such as </w:t>
            </w:r>
            <w:proofErr w:type="spellStart"/>
            <w:r w:rsidRPr="003A2524">
              <w:rPr>
                <w:rFonts w:ascii="Arial" w:hAnsi="Arial" w:cs="Arial"/>
                <w:sz w:val="24"/>
              </w:rPr>
              <w:t>ReSPIN</w:t>
            </w:r>
            <w:proofErr w:type="spellEnd"/>
            <w:r w:rsidRPr="003A2524">
              <w:rPr>
                <w:rFonts w:ascii="Arial" w:hAnsi="Arial" w:cs="Arial"/>
                <w:sz w:val="24"/>
              </w:rPr>
              <w:t xml:space="preserve"> Gambling Awareness Speakers Bureau and </w:t>
            </w:r>
            <w:proofErr w:type="spellStart"/>
            <w:r w:rsidRPr="003A2524">
              <w:rPr>
                <w:rFonts w:ascii="Arial" w:hAnsi="Arial" w:cs="Arial"/>
                <w:sz w:val="24"/>
              </w:rPr>
              <w:t>HealthWest</w:t>
            </w:r>
            <w:proofErr w:type="spellEnd"/>
            <w:r w:rsidRPr="003A2524">
              <w:rPr>
                <w:rFonts w:ascii="Arial" w:hAnsi="Arial" w:cs="Arial"/>
                <w:sz w:val="24"/>
              </w:rPr>
              <w:t xml:space="preserve"> Reducing Gambling Frequency Project.</w:t>
            </w:r>
          </w:p>
        </w:tc>
      </w:tr>
      <w:tr w:rsidR="00AA07A8" w:rsidRPr="00D95D60" w:rsidTr="003D03F8">
        <w:tc>
          <w:tcPr>
            <w:tcW w:w="550" w:type="dxa"/>
          </w:tcPr>
          <w:p w:rsidR="00AA07A8" w:rsidRPr="00D95D60" w:rsidRDefault="00AA07A8" w:rsidP="003D03F8">
            <w:pPr>
              <w:jc w:val="both"/>
              <w:rPr>
                <w:rFonts w:ascii="Arial" w:hAnsi="Arial" w:cs="Arial"/>
                <w:sz w:val="24"/>
              </w:rPr>
            </w:pPr>
            <w:r>
              <w:rPr>
                <w:rFonts w:ascii="Arial" w:hAnsi="Arial" w:cs="Arial"/>
                <w:sz w:val="24"/>
              </w:rPr>
              <w:t>2.3</w:t>
            </w:r>
          </w:p>
        </w:tc>
        <w:tc>
          <w:tcPr>
            <w:tcW w:w="8306" w:type="dxa"/>
          </w:tcPr>
          <w:p w:rsidR="00AA07A8" w:rsidRPr="003A2524" w:rsidRDefault="00AA07A8" w:rsidP="00AA07A8">
            <w:pPr>
              <w:jc w:val="both"/>
              <w:rPr>
                <w:rFonts w:ascii="Arial" w:hAnsi="Arial" w:cs="Arial"/>
                <w:sz w:val="24"/>
              </w:rPr>
            </w:pPr>
            <w:r w:rsidRPr="003A2524">
              <w:rPr>
                <w:rFonts w:ascii="Arial" w:hAnsi="Arial" w:cs="Arial"/>
                <w:sz w:val="24"/>
              </w:rPr>
              <w:t>Provide information to the local communities about gambling prevention programs and tools such as the Quit Pokies App and the Bet Regret Campaign.</w:t>
            </w:r>
          </w:p>
        </w:tc>
      </w:tr>
      <w:tr w:rsidR="00AA07A8" w:rsidRPr="00D95D60" w:rsidTr="003D03F8">
        <w:tc>
          <w:tcPr>
            <w:tcW w:w="550" w:type="dxa"/>
          </w:tcPr>
          <w:p w:rsidR="00AA07A8" w:rsidRDefault="00AA07A8" w:rsidP="003D03F8">
            <w:pPr>
              <w:jc w:val="both"/>
              <w:rPr>
                <w:rFonts w:ascii="Arial" w:hAnsi="Arial" w:cs="Arial"/>
                <w:sz w:val="24"/>
              </w:rPr>
            </w:pPr>
            <w:r>
              <w:rPr>
                <w:rFonts w:ascii="Arial" w:hAnsi="Arial" w:cs="Arial"/>
                <w:sz w:val="24"/>
              </w:rPr>
              <w:t>2.</w:t>
            </w:r>
            <w:r w:rsidR="00397C42">
              <w:rPr>
                <w:rFonts w:ascii="Arial" w:hAnsi="Arial" w:cs="Arial"/>
                <w:sz w:val="24"/>
              </w:rPr>
              <w:t>4</w:t>
            </w:r>
          </w:p>
        </w:tc>
        <w:tc>
          <w:tcPr>
            <w:tcW w:w="8306" w:type="dxa"/>
          </w:tcPr>
          <w:p w:rsidR="00AA07A8" w:rsidRPr="003A2524" w:rsidRDefault="00AA07A8" w:rsidP="00AA07A8">
            <w:pPr>
              <w:jc w:val="both"/>
              <w:rPr>
                <w:rFonts w:ascii="Arial" w:hAnsi="Arial" w:cs="Arial"/>
                <w:sz w:val="24"/>
              </w:rPr>
            </w:pPr>
            <w:r w:rsidRPr="003A2524">
              <w:rPr>
                <w:rFonts w:ascii="Arial" w:hAnsi="Arial" w:cs="Arial"/>
                <w:sz w:val="24"/>
              </w:rPr>
              <w:t xml:space="preserve">Promote Responsible Gambling Awareness Week programs across the City of Maribyrnong. </w:t>
            </w:r>
          </w:p>
        </w:tc>
      </w:tr>
      <w:tr w:rsidR="00AA07A8" w:rsidRPr="00D95D60" w:rsidTr="003D03F8">
        <w:tc>
          <w:tcPr>
            <w:tcW w:w="550" w:type="dxa"/>
          </w:tcPr>
          <w:p w:rsidR="00AA07A8" w:rsidRDefault="00AA07A8" w:rsidP="003D03F8">
            <w:pPr>
              <w:jc w:val="both"/>
              <w:rPr>
                <w:rFonts w:ascii="Arial" w:hAnsi="Arial" w:cs="Arial"/>
                <w:sz w:val="24"/>
              </w:rPr>
            </w:pPr>
            <w:r>
              <w:rPr>
                <w:rFonts w:ascii="Arial" w:hAnsi="Arial" w:cs="Arial"/>
                <w:sz w:val="24"/>
              </w:rPr>
              <w:t>2.</w:t>
            </w:r>
            <w:r w:rsidR="00397C42">
              <w:rPr>
                <w:rFonts w:ascii="Arial" w:hAnsi="Arial" w:cs="Arial"/>
                <w:sz w:val="24"/>
              </w:rPr>
              <w:t>5</w:t>
            </w:r>
          </w:p>
        </w:tc>
        <w:tc>
          <w:tcPr>
            <w:tcW w:w="8306" w:type="dxa"/>
          </w:tcPr>
          <w:p w:rsidR="00AA07A8" w:rsidRPr="003A2524" w:rsidRDefault="00AA07A8" w:rsidP="00AA07A8">
            <w:pPr>
              <w:jc w:val="both"/>
              <w:rPr>
                <w:rFonts w:ascii="Arial" w:hAnsi="Arial" w:cs="Arial"/>
                <w:sz w:val="24"/>
              </w:rPr>
            </w:pPr>
            <w:r w:rsidRPr="003A2524">
              <w:rPr>
                <w:rFonts w:ascii="Arial" w:hAnsi="Arial" w:cs="Arial"/>
                <w:sz w:val="24"/>
              </w:rPr>
              <w:t>Attend forums that promote the prevention of harm from gambling, such as the VLGA Local Government Working Group on Gambling and the MAV Local Government Gambling, Alcohol and Other Drugs Issues Forum.</w:t>
            </w:r>
          </w:p>
        </w:tc>
      </w:tr>
    </w:tbl>
    <w:p w:rsidR="00EF4817" w:rsidRPr="00D95D60" w:rsidRDefault="00EF4817" w:rsidP="00DC33EB">
      <w:pPr>
        <w:spacing w:before="120" w:after="0" w:line="276" w:lineRule="auto"/>
        <w:jc w:val="both"/>
        <w:rPr>
          <w:rFonts w:ascii="Arial" w:hAnsi="Arial" w:cs="Arial"/>
          <w:sz w:val="24"/>
        </w:rPr>
      </w:pPr>
      <w:r w:rsidRPr="00D95D60">
        <w:rPr>
          <w:rFonts w:ascii="Arial" w:hAnsi="Arial" w:cs="Arial"/>
          <w:b/>
          <w:sz w:val="24"/>
        </w:rPr>
        <w:t>3. Research</w:t>
      </w:r>
      <w:r w:rsidR="00DC33EB" w:rsidRPr="00D95D60">
        <w:rPr>
          <w:rFonts w:ascii="Arial" w:hAnsi="Arial" w:cs="Arial"/>
          <w:b/>
          <w:sz w:val="24"/>
        </w:rPr>
        <w:t xml:space="preserve"> </w:t>
      </w:r>
    </w:p>
    <w:p w:rsidR="00EF4817" w:rsidRPr="00D95D60" w:rsidRDefault="00EF4817" w:rsidP="00DC33EB">
      <w:pPr>
        <w:jc w:val="both"/>
        <w:rPr>
          <w:rFonts w:ascii="Arial" w:hAnsi="Arial" w:cs="Arial"/>
          <w:sz w:val="24"/>
        </w:rPr>
      </w:pPr>
      <w:r w:rsidRPr="00D95D60">
        <w:rPr>
          <w:rFonts w:ascii="Arial" w:hAnsi="Arial" w:cs="Arial"/>
          <w:sz w:val="24"/>
        </w:rPr>
        <w:t xml:space="preserve">Council will support ongoing research into developments in the gambling sector at a local, Victorian and national level. This will involve research into the social and economic impacts of gambling, changes in the local gambling market, and policy and regulatory developments in the gambling sector in Victoria and across Australia. This research will help inform Council’s ongoing regulatory and advocacy role in relation to the gambling sector in </w:t>
      </w:r>
      <w:proofErr w:type="spellStart"/>
      <w:r w:rsidRPr="00D95D60">
        <w:rPr>
          <w:rFonts w:ascii="Arial" w:hAnsi="Arial" w:cs="Arial"/>
          <w:sz w:val="24"/>
        </w:rPr>
        <w:t>Maribyrnong</w:t>
      </w:r>
      <w:proofErr w:type="spellEnd"/>
      <w:r w:rsidRPr="00D95D60">
        <w:rPr>
          <w:rFonts w:ascii="Arial" w:hAnsi="Arial" w:cs="Arial"/>
          <w:sz w:val="24"/>
        </w:rPr>
        <w:t>.</w:t>
      </w:r>
    </w:p>
    <w:p w:rsidR="009D3056" w:rsidRDefault="008E0E28" w:rsidP="00DC33EB">
      <w:pPr>
        <w:spacing w:before="120" w:after="0"/>
        <w:jc w:val="both"/>
        <w:rPr>
          <w:rFonts w:ascii="Arial" w:hAnsi="Arial" w:cs="Arial"/>
          <w:b/>
          <w:sz w:val="24"/>
        </w:rPr>
      </w:pPr>
      <w:r w:rsidRPr="00177C78">
        <w:rPr>
          <w:rFonts w:ascii="Arial" w:hAnsi="Arial" w:cs="Arial"/>
          <w:b/>
          <w:sz w:val="24"/>
        </w:rPr>
        <w:t>Research Actions</w:t>
      </w:r>
      <w:r w:rsidR="00177C78">
        <w:rPr>
          <w:rFonts w:ascii="Arial" w:hAnsi="Arial" w:cs="Arial"/>
          <w:b/>
          <w:sz w:val="24"/>
        </w:rPr>
        <w:t>:</w:t>
      </w:r>
    </w:p>
    <w:tbl>
      <w:tblPr>
        <w:tblStyle w:val="TableGrid"/>
        <w:tblW w:w="0" w:type="auto"/>
        <w:tblLook w:val="04A0" w:firstRow="1" w:lastRow="0" w:firstColumn="1" w:lastColumn="0" w:noHBand="0" w:noVBand="1"/>
      </w:tblPr>
      <w:tblGrid>
        <w:gridCol w:w="550"/>
        <w:gridCol w:w="8080"/>
      </w:tblGrid>
      <w:tr w:rsidR="00AA07A8" w:rsidRPr="00D95D60" w:rsidTr="003D03F8">
        <w:tc>
          <w:tcPr>
            <w:tcW w:w="550" w:type="dxa"/>
          </w:tcPr>
          <w:p w:rsidR="00AA07A8" w:rsidRPr="00D95D60" w:rsidRDefault="00AA07A8" w:rsidP="003D03F8">
            <w:pPr>
              <w:jc w:val="both"/>
              <w:rPr>
                <w:rFonts w:ascii="Arial" w:hAnsi="Arial" w:cs="Arial"/>
                <w:sz w:val="24"/>
              </w:rPr>
            </w:pPr>
            <w:r>
              <w:rPr>
                <w:rFonts w:ascii="Arial" w:hAnsi="Arial" w:cs="Arial"/>
                <w:sz w:val="24"/>
              </w:rPr>
              <w:t>3</w:t>
            </w:r>
            <w:r w:rsidRPr="00D95D60">
              <w:rPr>
                <w:rFonts w:ascii="Arial" w:hAnsi="Arial" w:cs="Arial"/>
                <w:sz w:val="24"/>
              </w:rPr>
              <w:t>.1</w:t>
            </w:r>
          </w:p>
        </w:tc>
        <w:tc>
          <w:tcPr>
            <w:tcW w:w="8306" w:type="dxa"/>
          </w:tcPr>
          <w:p w:rsidR="00AA07A8" w:rsidRPr="003A2524" w:rsidRDefault="00AA07A8" w:rsidP="00AA07A8">
            <w:pPr>
              <w:spacing w:before="120" w:after="0"/>
              <w:jc w:val="both"/>
              <w:rPr>
                <w:rFonts w:ascii="Arial" w:hAnsi="Arial" w:cs="Arial"/>
                <w:sz w:val="24"/>
              </w:rPr>
            </w:pPr>
            <w:r w:rsidRPr="003A2524">
              <w:rPr>
                <w:rFonts w:ascii="Arial" w:hAnsi="Arial" w:cs="Arial"/>
                <w:sz w:val="24"/>
              </w:rPr>
              <w:t>Include a question in Council’s Annual Community Survey on the impacts of gambling in the City of Maribyrnong community.</w:t>
            </w:r>
          </w:p>
        </w:tc>
      </w:tr>
      <w:tr w:rsidR="00AA07A8" w:rsidRPr="00D95D60" w:rsidTr="003D03F8">
        <w:tc>
          <w:tcPr>
            <w:tcW w:w="550" w:type="dxa"/>
          </w:tcPr>
          <w:p w:rsidR="00AA07A8" w:rsidRPr="00D95D60" w:rsidRDefault="00AA07A8" w:rsidP="003D03F8">
            <w:pPr>
              <w:jc w:val="both"/>
              <w:rPr>
                <w:rFonts w:ascii="Arial" w:hAnsi="Arial" w:cs="Arial"/>
                <w:sz w:val="24"/>
              </w:rPr>
            </w:pPr>
            <w:r>
              <w:rPr>
                <w:rFonts w:ascii="Arial" w:hAnsi="Arial" w:cs="Arial"/>
                <w:sz w:val="24"/>
              </w:rPr>
              <w:t>3.2</w:t>
            </w:r>
          </w:p>
        </w:tc>
        <w:tc>
          <w:tcPr>
            <w:tcW w:w="8306" w:type="dxa"/>
          </w:tcPr>
          <w:p w:rsidR="00AA07A8" w:rsidRPr="003A2524" w:rsidRDefault="00AA07A8" w:rsidP="00AA07A8">
            <w:pPr>
              <w:spacing w:before="120" w:after="0"/>
              <w:jc w:val="both"/>
              <w:rPr>
                <w:rFonts w:ascii="Arial" w:hAnsi="Arial" w:cs="Arial"/>
                <w:sz w:val="24"/>
              </w:rPr>
            </w:pPr>
            <w:r w:rsidRPr="003A2524">
              <w:rPr>
                <w:rFonts w:ascii="Arial" w:hAnsi="Arial" w:cs="Arial"/>
                <w:sz w:val="24"/>
              </w:rPr>
              <w:t>Support research projects on the harmful impacts of gambling being undertaken by the Victorian Responsible Gambling Foundation, the Australian Gambling Research Centre, universities and other research organisations.</w:t>
            </w:r>
          </w:p>
        </w:tc>
      </w:tr>
      <w:tr w:rsidR="00AA07A8" w:rsidRPr="00D95D60" w:rsidTr="003D03F8">
        <w:tc>
          <w:tcPr>
            <w:tcW w:w="550" w:type="dxa"/>
          </w:tcPr>
          <w:p w:rsidR="00AA07A8" w:rsidRPr="00D95D60" w:rsidRDefault="00AA07A8" w:rsidP="003D03F8">
            <w:pPr>
              <w:jc w:val="both"/>
              <w:rPr>
                <w:rFonts w:ascii="Arial" w:hAnsi="Arial" w:cs="Arial"/>
                <w:sz w:val="24"/>
              </w:rPr>
            </w:pPr>
            <w:r>
              <w:rPr>
                <w:rFonts w:ascii="Arial" w:hAnsi="Arial" w:cs="Arial"/>
                <w:sz w:val="24"/>
              </w:rPr>
              <w:t>3.3</w:t>
            </w:r>
          </w:p>
        </w:tc>
        <w:tc>
          <w:tcPr>
            <w:tcW w:w="8306" w:type="dxa"/>
          </w:tcPr>
          <w:p w:rsidR="00AA07A8" w:rsidRPr="003A2524" w:rsidRDefault="00AA07A8" w:rsidP="00397C42">
            <w:pPr>
              <w:spacing w:before="120" w:after="0"/>
              <w:jc w:val="both"/>
              <w:rPr>
                <w:rFonts w:ascii="Arial" w:hAnsi="Arial" w:cs="Arial"/>
                <w:sz w:val="24"/>
              </w:rPr>
            </w:pPr>
            <w:r w:rsidRPr="003A2524">
              <w:rPr>
                <w:rFonts w:ascii="Arial" w:hAnsi="Arial" w:cs="Arial"/>
                <w:sz w:val="24"/>
              </w:rPr>
              <w:t xml:space="preserve">Collaborate with other western and northern region Council on research projects and submissions to government </w:t>
            </w:r>
            <w:r w:rsidR="00A72982" w:rsidRPr="003A2524">
              <w:rPr>
                <w:rFonts w:ascii="Arial" w:hAnsi="Arial" w:cs="Arial"/>
                <w:sz w:val="24"/>
              </w:rPr>
              <w:t>inquiries, which</w:t>
            </w:r>
            <w:r w:rsidRPr="003A2524">
              <w:rPr>
                <w:rFonts w:ascii="Arial" w:hAnsi="Arial" w:cs="Arial"/>
                <w:sz w:val="24"/>
              </w:rPr>
              <w:t xml:space="preserve"> focus on the harmful impacts of gambling to local communities.</w:t>
            </w:r>
          </w:p>
        </w:tc>
      </w:tr>
    </w:tbl>
    <w:p w:rsidR="00AA07A8" w:rsidRPr="00177C78" w:rsidRDefault="00AA07A8" w:rsidP="00DC33EB">
      <w:pPr>
        <w:spacing w:before="120" w:after="0"/>
        <w:jc w:val="both"/>
        <w:rPr>
          <w:rFonts w:ascii="Arial" w:hAnsi="Arial" w:cs="Arial"/>
          <w:b/>
          <w:sz w:val="24"/>
        </w:rPr>
      </w:pPr>
    </w:p>
    <w:p w:rsidR="00EF4817" w:rsidRPr="00D95D60" w:rsidRDefault="00DC33EB" w:rsidP="00DC33EB">
      <w:pPr>
        <w:spacing w:before="120" w:after="0"/>
        <w:jc w:val="both"/>
        <w:rPr>
          <w:rFonts w:ascii="Arial" w:hAnsi="Arial" w:cs="Arial"/>
          <w:sz w:val="24"/>
        </w:rPr>
      </w:pPr>
      <w:proofErr w:type="gramStart"/>
      <w:r w:rsidRPr="00D95D60">
        <w:rPr>
          <w:rFonts w:ascii="Arial" w:hAnsi="Arial" w:cs="Arial"/>
          <w:b/>
          <w:sz w:val="24"/>
        </w:rPr>
        <w:t>4.</w:t>
      </w:r>
      <w:r w:rsidR="00E76085">
        <w:rPr>
          <w:rFonts w:ascii="Arial" w:hAnsi="Arial" w:cs="Arial"/>
          <w:b/>
          <w:sz w:val="24"/>
        </w:rPr>
        <w:t>Legislation</w:t>
      </w:r>
      <w:proofErr w:type="gramEnd"/>
    </w:p>
    <w:p w:rsidR="00C81DCC" w:rsidRDefault="005272CE" w:rsidP="00C81DCC">
      <w:pPr>
        <w:jc w:val="both"/>
        <w:rPr>
          <w:rFonts w:ascii="Arial" w:hAnsi="Arial" w:cs="Arial"/>
          <w:sz w:val="24"/>
        </w:rPr>
      </w:pPr>
      <w:r>
        <w:rPr>
          <w:rFonts w:ascii="Arial" w:hAnsi="Arial" w:cs="Arial"/>
          <w:sz w:val="24"/>
        </w:rPr>
        <w:t xml:space="preserve">Council will </w:t>
      </w:r>
      <w:proofErr w:type="spellStart"/>
      <w:r w:rsidR="0029087D">
        <w:rPr>
          <w:rFonts w:ascii="Arial" w:hAnsi="Arial" w:cs="Arial"/>
          <w:sz w:val="24"/>
        </w:rPr>
        <w:t>utilise</w:t>
      </w:r>
      <w:proofErr w:type="spellEnd"/>
      <w:r w:rsidR="0029087D">
        <w:rPr>
          <w:rFonts w:ascii="Arial" w:hAnsi="Arial" w:cs="Arial"/>
          <w:sz w:val="24"/>
        </w:rPr>
        <w:t xml:space="preserve"> </w:t>
      </w:r>
      <w:r w:rsidR="00C81DCC" w:rsidRPr="00C81DCC">
        <w:rPr>
          <w:rFonts w:ascii="Arial" w:hAnsi="Arial" w:cs="Arial"/>
          <w:sz w:val="24"/>
        </w:rPr>
        <w:t xml:space="preserve">relevant legislation, in particular the </w:t>
      </w:r>
      <w:proofErr w:type="spellStart"/>
      <w:r w:rsidR="00C81DCC" w:rsidRPr="00C81DCC">
        <w:rPr>
          <w:rFonts w:ascii="Arial" w:hAnsi="Arial" w:cs="Arial"/>
          <w:sz w:val="24"/>
        </w:rPr>
        <w:t>Maribyrnong</w:t>
      </w:r>
      <w:proofErr w:type="spellEnd"/>
      <w:r w:rsidR="00C81DCC" w:rsidRPr="00C81DCC">
        <w:rPr>
          <w:rFonts w:ascii="Arial" w:hAnsi="Arial" w:cs="Arial"/>
          <w:sz w:val="24"/>
        </w:rPr>
        <w:t xml:space="preserve"> Planning Scheme Claus</w:t>
      </w:r>
      <w:r w:rsidR="0029087D">
        <w:rPr>
          <w:rFonts w:ascii="Arial" w:hAnsi="Arial" w:cs="Arial"/>
          <w:sz w:val="24"/>
        </w:rPr>
        <w:t xml:space="preserve">e 22.06 (Local Planning Policy) to reduce the negative impacts of gambling on the City of </w:t>
      </w:r>
      <w:proofErr w:type="spellStart"/>
      <w:r w:rsidR="0029087D">
        <w:rPr>
          <w:rFonts w:ascii="Arial" w:hAnsi="Arial" w:cs="Arial"/>
          <w:sz w:val="24"/>
        </w:rPr>
        <w:t>Maribyrnong</w:t>
      </w:r>
      <w:proofErr w:type="spellEnd"/>
      <w:r w:rsidR="0029087D">
        <w:rPr>
          <w:rFonts w:ascii="Arial" w:hAnsi="Arial" w:cs="Arial"/>
          <w:sz w:val="24"/>
        </w:rPr>
        <w:t xml:space="preserve"> community.</w:t>
      </w:r>
    </w:p>
    <w:p w:rsidR="00C81DCC" w:rsidRPr="00C81DCC" w:rsidRDefault="00C81DCC" w:rsidP="00C81DCC">
      <w:pPr>
        <w:jc w:val="both"/>
        <w:rPr>
          <w:rFonts w:ascii="Arial" w:hAnsi="Arial" w:cs="Arial"/>
          <w:sz w:val="24"/>
        </w:rPr>
      </w:pPr>
      <w:r>
        <w:rPr>
          <w:rFonts w:ascii="Arial" w:hAnsi="Arial" w:cs="Arial"/>
          <w:sz w:val="24"/>
        </w:rPr>
        <w:t>There are four key piece</w:t>
      </w:r>
      <w:r w:rsidR="007A169A">
        <w:rPr>
          <w:rFonts w:ascii="Arial" w:hAnsi="Arial" w:cs="Arial"/>
          <w:sz w:val="24"/>
        </w:rPr>
        <w:t>s</w:t>
      </w:r>
      <w:r>
        <w:rPr>
          <w:rFonts w:ascii="Arial" w:hAnsi="Arial" w:cs="Arial"/>
          <w:sz w:val="24"/>
        </w:rPr>
        <w:t xml:space="preserve"> of legislation that relate to the management of gambling by Local Government, They are: the Local Government Act 1989, the Public Health and Wellbeing Act 2008; the Gambling regulation Act 2003; and the Planning and Environment Act 1987. There is also the Interactive Gambling Act 2001 which regulates online gambling in Australia.</w:t>
      </w:r>
    </w:p>
    <w:p w:rsidR="00C81DCC" w:rsidRPr="00D95D60" w:rsidRDefault="00C81DCC" w:rsidP="00DC33EB">
      <w:pPr>
        <w:spacing w:after="0"/>
        <w:jc w:val="both"/>
        <w:rPr>
          <w:rFonts w:ascii="Arial" w:hAnsi="Arial" w:cs="Arial"/>
          <w:sz w:val="24"/>
        </w:rPr>
      </w:pPr>
    </w:p>
    <w:p w:rsidR="00EF4817" w:rsidRPr="00D95D60" w:rsidRDefault="00EF4817" w:rsidP="00DC33EB">
      <w:pPr>
        <w:pStyle w:val="Pagetitle"/>
        <w:pBdr>
          <w:bottom w:val="single" w:sz="4" w:space="1" w:color="auto"/>
        </w:pBdr>
        <w:jc w:val="both"/>
        <w:rPr>
          <w:rStyle w:val="Emphasis"/>
          <w:i/>
          <w:color w:val="auto"/>
        </w:rPr>
      </w:pPr>
      <w:bookmarkStart w:id="12" w:name="_Toc342565500"/>
      <w:bookmarkStart w:id="13" w:name="_Toc446579051"/>
      <w:r w:rsidRPr="00D95D60">
        <w:rPr>
          <w:rStyle w:val="Emphasis"/>
          <w:color w:val="auto"/>
        </w:rPr>
        <w:t>Key Stakeholders</w:t>
      </w:r>
      <w:bookmarkEnd w:id="12"/>
      <w:bookmarkEnd w:id="13"/>
    </w:p>
    <w:p w:rsidR="00EF4817" w:rsidRPr="00D95D60" w:rsidRDefault="00364955" w:rsidP="00DC33EB">
      <w:pPr>
        <w:pStyle w:val="ListParagraph"/>
        <w:numPr>
          <w:ilvl w:val="0"/>
          <w:numId w:val="3"/>
        </w:numPr>
        <w:jc w:val="both"/>
        <w:rPr>
          <w:rStyle w:val="Emphasis"/>
          <w:rFonts w:ascii="Arial" w:hAnsi="Arial"/>
          <w:i/>
          <w:lang w:val="en-AU"/>
        </w:rPr>
      </w:pPr>
      <w:r>
        <w:rPr>
          <w:rStyle w:val="Emphasis"/>
          <w:rFonts w:ascii="Arial" w:hAnsi="Arial"/>
          <w:lang w:val="en-AU"/>
        </w:rPr>
        <w:t xml:space="preserve">City of Maribyrnong community </w:t>
      </w:r>
    </w:p>
    <w:p w:rsidR="00364955" w:rsidRDefault="00364955" w:rsidP="00DC33EB">
      <w:pPr>
        <w:pStyle w:val="ListParagraph"/>
        <w:numPr>
          <w:ilvl w:val="0"/>
          <w:numId w:val="3"/>
        </w:numPr>
        <w:jc w:val="both"/>
        <w:rPr>
          <w:rFonts w:ascii="Arial" w:hAnsi="Arial" w:cs="Arial"/>
          <w:sz w:val="24"/>
          <w:szCs w:val="24"/>
        </w:rPr>
      </w:pPr>
      <w:r>
        <w:rPr>
          <w:rFonts w:ascii="Arial" w:hAnsi="Arial" w:cs="Arial"/>
          <w:sz w:val="24"/>
          <w:szCs w:val="24"/>
        </w:rPr>
        <w:t>Municipal Association Victoria</w:t>
      </w:r>
    </w:p>
    <w:p w:rsidR="00364955" w:rsidRDefault="00364955" w:rsidP="00DC33EB">
      <w:pPr>
        <w:pStyle w:val="ListParagraph"/>
        <w:numPr>
          <w:ilvl w:val="0"/>
          <w:numId w:val="3"/>
        </w:numPr>
        <w:jc w:val="both"/>
        <w:rPr>
          <w:rFonts w:ascii="Arial" w:hAnsi="Arial" w:cs="Arial"/>
          <w:sz w:val="24"/>
          <w:szCs w:val="24"/>
        </w:rPr>
      </w:pPr>
      <w:r>
        <w:rPr>
          <w:rFonts w:ascii="Arial" w:hAnsi="Arial" w:cs="Arial"/>
          <w:sz w:val="24"/>
          <w:szCs w:val="24"/>
        </w:rPr>
        <w:t>Victorian Local Government Association</w:t>
      </w:r>
    </w:p>
    <w:p w:rsidR="00364955" w:rsidRPr="00D95D60" w:rsidRDefault="00364955" w:rsidP="00DC33EB">
      <w:pPr>
        <w:pStyle w:val="ListParagraph"/>
        <w:numPr>
          <w:ilvl w:val="0"/>
          <w:numId w:val="3"/>
        </w:numPr>
        <w:jc w:val="both"/>
        <w:rPr>
          <w:rFonts w:ascii="Arial" w:hAnsi="Arial" w:cs="Arial"/>
          <w:sz w:val="24"/>
          <w:szCs w:val="24"/>
        </w:rPr>
      </w:pPr>
      <w:r>
        <w:rPr>
          <w:rFonts w:ascii="Arial" w:hAnsi="Arial" w:cs="Arial"/>
          <w:sz w:val="24"/>
          <w:szCs w:val="24"/>
        </w:rPr>
        <w:t>Victorian Responsible Gambling Foundation</w:t>
      </w:r>
    </w:p>
    <w:p w:rsidR="00EF4817" w:rsidRDefault="00EF4817" w:rsidP="00DC33EB">
      <w:pPr>
        <w:pStyle w:val="ListParagraph"/>
        <w:numPr>
          <w:ilvl w:val="0"/>
          <w:numId w:val="3"/>
        </w:numPr>
        <w:jc w:val="both"/>
        <w:rPr>
          <w:rFonts w:ascii="Arial" w:hAnsi="Arial" w:cs="Arial"/>
          <w:sz w:val="24"/>
          <w:szCs w:val="24"/>
        </w:rPr>
      </w:pPr>
      <w:r w:rsidRPr="00D95D60">
        <w:rPr>
          <w:rFonts w:ascii="Arial" w:hAnsi="Arial" w:cs="Arial"/>
          <w:sz w:val="24"/>
          <w:szCs w:val="24"/>
        </w:rPr>
        <w:t>Australian Gambling Research Centre</w:t>
      </w:r>
    </w:p>
    <w:p w:rsidR="00DA1433" w:rsidRDefault="00DA1433" w:rsidP="00DA1433">
      <w:pPr>
        <w:pStyle w:val="ListParagraph"/>
        <w:numPr>
          <w:ilvl w:val="0"/>
          <w:numId w:val="3"/>
        </w:numPr>
        <w:jc w:val="both"/>
        <w:rPr>
          <w:rFonts w:ascii="Arial" w:hAnsi="Arial" w:cs="Arial"/>
          <w:sz w:val="24"/>
          <w:szCs w:val="24"/>
        </w:rPr>
      </w:pPr>
      <w:r>
        <w:rPr>
          <w:rFonts w:ascii="Arial" w:hAnsi="Arial" w:cs="Arial"/>
          <w:sz w:val="24"/>
          <w:szCs w:val="24"/>
        </w:rPr>
        <w:t>Health West</w:t>
      </w:r>
    </w:p>
    <w:p w:rsidR="00DC33EB" w:rsidRPr="00D95D60" w:rsidRDefault="00987C37" w:rsidP="00DC33EB">
      <w:pPr>
        <w:pStyle w:val="ListParagraph"/>
        <w:numPr>
          <w:ilvl w:val="0"/>
          <w:numId w:val="3"/>
        </w:numPr>
        <w:jc w:val="both"/>
        <w:rPr>
          <w:rFonts w:ascii="Arial" w:hAnsi="Arial" w:cs="Arial"/>
          <w:sz w:val="24"/>
          <w:szCs w:val="24"/>
        </w:rPr>
      </w:pPr>
      <w:r w:rsidRPr="00D95D60">
        <w:rPr>
          <w:rFonts w:ascii="Arial" w:hAnsi="Arial" w:cs="Arial"/>
          <w:sz w:val="24"/>
          <w:szCs w:val="24"/>
        </w:rPr>
        <w:t>All internal Council d</w:t>
      </w:r>
      <w:r w:rsidR="00D72998" w:rsidRPr="00D95D60">
        <w:rPr>
          <w:rFonts w:ascii="Arial" w:hAnsi="Arial" w:cs="Arial"/>
          <w:sz w:val="24"/>
          <w:szCs w:val="24"/>
        </w:rPr>
        <w:t>epartments that have an responsibility</w:t>
      </w:r>
      <w:r w:rsidRPr="00D95D60">
        <w:rPr>
          <w:rFonts w:ascii="Arial" w:hAnsi="Arial" w:cs="Arial"/>
          <w:sz w:val="24"/>
          <w:szCs w:val="24"/>
        </w:rPr>
        <w:t xml:space="preserve"> in gambling </w:t>
      </w:r>
      <w:bookmarkStart w:id="14" w:name="_Toc342565501"/>
    </w:p>
    <w:p w:rsidR="00EF4817" w:rsidRPr="00D95D60" w:rsidRDefault="00EF4817" w:rsidP="00DC33EB">
      <w:pPr>
        <w:pStyle w:val="Pagetitle"/>
        <w:pBdr>
          <w:bottom w:val="single" w:sz="4" w:space="1" w:color="auto"/>
        </w:pBdr>
        <w:jc w:val="both"/>
        <w:rPr>
          <w:rStyle w:val="Emphasis"/>
          <w:color w:val="auto"/>
        </w:rPr>
      </w:pPr>
      <w:bookmarkStart w:id="15" w:name="_Toc446579052"/>
      <w:r w:rsidRPr="00D95D60">
        <w:rPr>
          <w:rStyle w:val="Emphasis"/>
          <w:color w:val="auto"/>
        </w:rPr>
        <w:t>Related Legislation</w:t>
      </w:r>
      <w:bookmarkEnd w:id="14"/>
      <w:bookmarkEnd w:id="15"/>
    </w:p>
    <w:p w:rsidR="001F13ED" w:rsidRPr="00D95D60" w:rsidRDefault="001F13ED" w:rsidP="001F13ED">
      <w:pPr>
        <w:pStyle w:val="ListParagraph"/>
        <w:numPr>
          <w:ilvl w:val="0"/>
          <w:numId w:val="4"/>
        </w:numPr>
        <w:shd w:val="clear" w:color="auto" w:fill="FFFFFF"/>
        <w:spacing w:after="240"/>
        <w:jc w:val="both"/>
        <w:rPr>
          <w:rFonts w:ascii="Arial" w:hAnsi="Arial" w:cs="Arial"/>
          <w:sz w:val="24"/>
          <w:szCs w:val="24"/>
        </w:rPr>
      </w:pPr>
      <w:r w:rsidRPr="00D95D60">
        <w:rPr>
          <w:rFonts w:ascii="Arial" w:hAnsi="Arial" w:cs="Arial"/>
          <w:iCs/>
          <w:sz w:val="24"/>
          <w:szCs w:val="24"/>
        </w:rPr>
        <w:t>Gambling Regulation Act 2003</w:t>
      </w:r>
      <w:r w:rsidR="00106BBC">
        <w:rPr>
          <w:rFonts w:ascii="Arial" w:hAnsi="Arial" w:cs="Arial"/>
          <w:sz w:val="24"/>
          <w:szCs w:val="24"/>
        </w:rPr>
        <w:t xml:space="preserve"> </w:t>
      </w:r>
      <w:r w:rsidRPr="00D95D60">
        <w:rPr>
          <w:rFonts w:ascii="Arial" w:hAnsi="Arial" w:cs="Arial"/>
          <w:sz w:val="24"/>
          <w:szCs w:val="24"/>
        </w:rPr>
        <w:t xml:space="preserve">(the Act) </w:t>
      </w:r>
    </w:p>
    <w:p w:rsidR="001F13ED" w:rsidRPr="00D95D60" w:rsidRDefault="001F13ED" w:rsidP="001F13ED">
      <w:pPr>
        <w:pStyle w:val="ListParagraph"/>
        <w:numPr>
          <w:ilvl w:val="0"/>
          <w:numId w:val="4"/>
        </w:numPr>
        <w:spacing w:before="120" w:after="0"/>
        <w:jc w:val="both"/>
        <w:rPr>
          <w:rFonts w:ascii="Arial" w:hAnsi="Arial" w:cs="Arial"/>
          <w:sz w:val="24"/>
          <w:szCs w:val="24"/>
        </w:rPr>
      </w:pPr>
      <w:r w:rsidRPr="00D95D60">
        <w:rPr>
          <w:rFonts w:ascii="Arial" w:hAnsi="Arial" w:cs="Arial"/>
          <w:sz w:val="24"/>
          <w:szCs w:val="24"/>
        </w:rPr>
        <w:t>Planning &amp; Environment Act 1987</w:t>
      </w:r>
    </w:p>
    <w:p w:rsidR="00EF4817" w:rsidRPr="00D95D60" w:rsidRDefault="00EF4817" w:rsidP="00DC33EB">
      <w:pPr>
        <w:pStyle w:val="ListParagraph"/>
        <w:numPr>
          <w:ilvl w:val="0"/>
          <w:numId w:val="4"/>
        </w:numPr>
        <w:jc w:val="both"/>
        <w:rPr>
          <w:rStyle w:val="Emphasis"/>
          <w:rFonts w:ascii="Arial" w:hAnsi="Arial"/>
          <w:i/>
          <w:lang w:val="en-AU"/>
        </w:rPr>
      </w:pPr>
      <w:r w:rsidRPr="00D95D60">
        <w:rPr>
          <w:rStyle w:val="Emphasis"/>
          <w:rFonts w:ascii="Arial" w:hAnsi="Arial"/>
          <w:lang w:val="en-AU"/>
        </w:rPr>
        <w:t>Victorian Charter of Human Rights and Responsibilities 2006</w:t>
      </w:r>
    </w:p>
    <w:p w:rsidR="00EF4817" w:rsidRPr="00D95D60" w:rsidRDefault="00EF4817" w:rsidP="00DC33EB">
      <w:pPr>
        <w:pStyle w:val="ListParagraph"/>
        <w:numPr>
          <w:ilvl w:val="0"/>
          <w:numId w:val="4"/>
        </w:numPr>
        <w:shd w:val="clear" w:color="auto" w:fill="FFFFFF"/>
        <w:spacing w:after="240"/>
        <w:jc w:val="both"/>
        <w:rPr>
          <w:rFonts w:ascii="Arial" w:hAnsi="Arial" w:cs="Arial"/>
          <w:iCs/>
          <w:sz w:val="24"/>
          <w:szCs w:val="24"/>
        </w:rPr>
      </w:pPr>
      <w:r w:rsidRPr="00D95D60">
        <w:rPr>
          <w:rFonts w:ascii="Arial" w:hAnsi="Arial" w:cs="Arial"/>
          <w:sz w:val="24"/>
          <w:szCs w:val="24"/>
        </w:rPr>
        <w:t xml:space="preserve">The </w:t>
      </w:r>
      <w:hyperlink r:id="rId12" w:history="1">
        <w:r w:rsidRPr="001F13ED">
          <w:rPr>
            <w:rStyle w:val="Hyperlink"/>
            <w:rFonts w:ascii="Arial" w:hAnsi="Arial" w:cs="Arial"/>
            <w:color w:val="auto"/>
            <w:sz w:val="24"/>
            <w:szCs w:val="24"/>
            <w:u w:val="none"/>
          </w:rPr>
          <w:t>Public Health and Wellbeing Act 2008</w:t>
        </w:r>
      </w:hyperlink>
      <w:r w:rsidRPr="00D95D60">
        <w:rPr>
          <w:rFonts w:ascii="Arial" w:hAnsi="Arial" w:cs="Arial"/>
          <w:sz w:val="24"/>
          <w:szCs w:val="24"/>
        </w:rPr>
        <w:t xml:space="preserve"> </w:t>
      </w:r>
    </w:p>
    <w:p w:rsidR="00EF4817" w:rsidRPr="00D95D60" w:rsidRDefault="00EF4817" w:rsidP="00DC33EB">
      <w:pPr>
        <w:pStyle w:val="ListParagraph"/>
        <w:numPr>
          <w:ilvl w:val="0"/>
          <w:numId w:val="4"/>
        </w:numPr>
        <w:shd w:val="clear" w:color="auto" w:fill="FFFFFF"/>
        <w:spacing w:after="240"/>
        <w:jc w:val="both"/>
        <w:rPr>
          <w:rFonts w:ascii="Arial" w:hAnsi="Arial" w:cs="Arial"/>
          <w:sz w:val="24"/>
          <w:szCs w:val="24"/>
        </w:rPr>
      </w:pPr>
      <w:r w:rsidRPr="00D95D60">
        <w:rPr>
          <w:rFonts w:ascii="Arial" w:hAnsi="Arial" w:cs="Arial"/>
          <w:iCs/>
          <w:sz w:val="24"/>
          <w:szCs w:val="24"/>
        </w:rPr>
        <w:t>Casino Control Act 1991</w:t>
      </w:r>
      <w:r w:rsidRPr="00D95D60">
        <w:rPr>
          <w:rFonts w:ascii="Arial" w:hAnsi="Arial" w:cs="Arial"/>
          <w:sz w:val="24"/>
          <w:szCs w:val="24"/>
        </w:rPr>
        <w:t xml:space="preserve"> and the </w:t>
      </w:r>
      <w:r w:rsidRPr="00D95D60">
        <w:rPr>
          <w:rFonts w:ascii="Arial" w:hAnsi="Arial" w:cs="Arial"/>
          <w:iCs/>
          <w:sz w:val="24"/>
          <w:szCs w:val="24"/>
        </w:rPr>
        <w:t>Casino (Management Agreement) Act 1993</w:t>
      </w:r>
      <w:r w:rsidRPr="00D95D60">
        <w:rPr>
          <w:rFonts w:ascii="Arial" w:hAnsi="Arial" w:cs="Arial"/>
          <w:sz w:val="24"/>
          <w:szCs w:val="24"/>
        </w:rPr>
        <w:t xml:space="preserve">. </w:t>
      </w:r>
    </w:p>
    <w:p w:rsidR="00EF4817" w:rsidRPr="00D95D60" w:rsidRDefault="00EF4817" w:rsidP="00DC33EB">
      <w:pPr>
        <w:pStyle w:val="ListParagraph"/>
        <w:numPr>
          <w:ilvl w:val="0"/>
          <w:numId w:val="4"/>
        </w:numPr>
        <w:spacing w:after="0"/>
        <w:jc w:val="both"/>
        <w:rPr>
          <w:rFonts w:ascii="Arial" w:hAnsi="Arial" w:cs="Arial"/>
          <w:sz w:val="24"/>
          <w:szCs w:val="24"/>
        </w:rPr>
      </w:pPr>
      <w:r w:rsidRPr="00D95D60">
        <w:rPr>
          <w:rFonts w:ascii="Arial" w:hAnsi="Arial" w:cs="Arial"/>
          <w:iCs/>
          <w:sz w:val="24"/>
          <w:szCs w:val="24"/>
        </w:rPr>
        <w:t>Gaming Machine Control Act 1</w:t>
      </w:r>
      <w:r w:rsidRPr="00D95D60">
        <w:rPr>
          <w:rFonts w:ascii="Arial" w:hAnsi="Arial" w:cs="Arial"/>
          <w:sz w:val="24"/>
          <w:szCs w:val="24"/>
        </w:rPr>
        <w:t>991</w:t>
      </w:r>
    </w:p>
    <w:p w:rsidR="00EF4817" w:rsidRPr="00D95D60" w:rsidRDefault="00FC7DDE" w:rsidP="00DC33EB">
      <w:pPr>
        <w:pStyle w:val="ListParagraph"/>
        <w:numPr>
          <w:ilvl w:val="0"/>
          <w:numId w:val="4"/>
        </w:numPr>
        <w:autoSpaceDE w:val="0"/>
        <w:autoSpaceDN w:val="0"/>
        <w:adjustRightInd w:val="0"/>
        <w:spacing w:before="120" w:after="0"/>
        <w:jc w:val="both"/>
        <w:rPr>
          <w:rFonts w:ascii="Arial" w:eastAsia="Calibri" w:hAnsi="Arial" w:cs="Arial"/>
          <w:i/>
          <w:sz w:val="24"/>
          <w:szCs w:val="24"/>
          <w:lang w:val="en-AU"/>
        </w:rPr>
      </w:pPr>
      <w:hyperlink r:id="rId13" w:tgtFrame="_blank" w:tooltip="External link (opens in new window)" w:history="1">
        <w:r w:rsidR="00EF4817" w:rsidRPr="00D95D60">
          <w:rPr>
            <w:rStyle w:val="Emphasis"/>
            <w:rFonts w:ascii="Arial" w:hAnsi="Arial"/>
            <w:bCs/>
          </w:rPr>
          <w:t xml:space="preserve">Interactive Gambling Act 2001 </w:t>
        </w:r>
      </w:hyperlink>
      <w:r w:rsidR="00EF4817" w:rsidRPr="00D95D60">
        <w:rPr>
          <w:rFonts w:ascii="Arial" w:hAnsi="Arial" w:cs="Arial"/>
          <w:i/>
          <w:sz w:val="24"/>
          <w:szCs w:val="24"/>
        </w:rPr>
        <w:t>(</w:t>
      </w:r>
      <w:r w:rsidR="00EF4817" w:rsidRPr="001F13ED">
        <w:rPr>
          <w:rFonts w:ascii="Arial" w:hAnsi="Arial" w:cs="Arial"/>
          <w:sz w:val="24"/>
          <w:szCs w:val="24"/>
        </w:rPr>
        <w:t>Commonwealth)</w:t>
      </w:r>
      <w:r w:rsidR="00EF4817" w:rsidRPr="00D95D60">
        <w:rPr>
          <w:rFonts w:ascii="Arial" w:hAnsi="Arial" w:cs="Arial"/>
          <w:i/>
          <w:sz w:val="24"/>
          <w:szCs w:val="24"/>
        </w:rPr>
        <w:t xml:space="preserve"> </w:t>
      </w:r>
    </w:p>
    <w:p w:rsidR="00EF4817" w:rsidRPr="00D95D60" w:rsidRDefault="00EF4817" w:rsidP="00DC33EB">
      <w:pPr>
        <w:spacing w:before="0" w:after="0" w:line="276" w:lineRule="auto"/>
        <w:ind w:left="1080"/>
        <w:jc w:val="both"/>
        <w:rPr>
          <w:rFonts w:ascii="Arial" w:hAnsi="Arial" w:cs="Arial"/>
          <w:b/>
          <w:iCs/>
          <w:sz w:val="24"/>
        </w:rPr>
      </w:pPr>
      <w:bookmarkStart w:id="16" w:name="_Toc342565502"/>
    </w:p>
    <w:p w:rsidR="00EF4817" w:rsidRPr="00D95D60" w:rsidRDefault="00EF4817" w:rsidP="00DC33EB">
      <w:pPr>
        <w:pStyle w:val="Pagetitle"/>
        <w:pBdr>
          <w:bottom w:val="single" w:sz="4" w:space="1" w:color="auto"/>
        </w:pBdr>
        <w:jc w:val="both"/>
        <w:rPr>
          <w:rStyle w:val="Emphasis"/>
          <w:i/>
          <w:color w:val="auto"/>
        </w:rPr>
      </w:pPr>
      <w:bookmarkStart w:id="17" w:name="_Toc446579053"/>
      <w:r w:rsidRPr="00D95D60">
        <w:rPr>
          <w:rStyle w:val="Emphasis"/>
          <w:color w:val="auto"/>
        </w:rPr>
        <w:t>Related Documents</w:t>
      </w:r>
      <w:bookmarkEnd w:id="16"/>
      <w:bookmarkEnd w:id="17"/>
    </w:p>
    <w:p w:rsidR="00EF4817" w:rsidRPr="00D95D60" w:rsidRDefault="00EF4817" w:rsidP="00DC33EB">
      <w:pPr>
        <w:jc w:val="both"/>
        <w:rPr>
          <w:rStyle w:val="Emphasis"/>
          <w:rFonts w:ascii="Arial" w:hAnsi="Arial"/>
          <w:i/>
          <w:lang w:val="en-AU"/>
        </w:rPr>
      </w:pPr>
      <w:r w:rsidRPr="00D95D60">
        <w:rPr>
          <w:rStyle w:val="Emphasis"/>
          <w:rFonts w:ascii="Arial" w:hAnsi="Arial"/>
          <w:lang w:val="en-AU"/>
        </w:rPr>
        <w:t>Council documents:</w:t>
      </w:r>
    </w:p>
    <w:p w:rsidR="00EF4817" w:rsidRPr="00D95D60" w:rsidRDefault="00EF4817" w:rsidP="00DC33EB">
      <w:pPr>
        <w:pStyle w:val="ListParagraph"/>
        <w:numPr>
          <w:ilvl w:val="0"/>
          <w:numId w:val="6"/>
        </w:numPr>
        <w:jc w:val="both"/>
        <w:rPr>
          <w:rFonts w:ascii="Arial" w:hAnsi="Arial" w:cs="Arial"/>
          <w:iCs/>
          <w:sz w:val="24"/>
          <w:szCs w:val="24"/>
          <w:lang w:val="en-AU"/>
        </w:rPr>
      </w:pPr>
      <w:r w:rsidRPr="00D95D60">
        <w:rPr>
          <w:rFonts w:ascii="Arial" w:hAnsi="Arial" w:cs="Arial"/>
          <w:sz w:val="24"/>
          <w:szCs w:val="24"/>
        </w:rPr>
        <w:t>Gambling Advocacy Campaign 2015/16</w:t>
      </w:r>
    </w:p>
    <w:p w:rsidR="00987C37" w:rsidRPr="00D95D60" w:rsidRDefault="00685396" w:rsidP="00DC33EB">
      <w:pPr>
        <w:pStyle w:val="ListParagraph"/>
        <w:numPr>
          <w:ilvl w:val="0"/>
          <w:numId w:val="6"/>
        </w:numPr>
        <w:jc w:val="both"/>
        <w:rPr>
          <w:rFonts w:ascii="Arial" w:hAnsi="Arial" w:cs="Arial"/>
          <w:iCs/>
          <w:sz w:val="24"/>
          <w:szCs w:val="24"/>
          <w:lang w:val="en-AU"/>
        </w:rPr>
      </w:pPr>
      <w:proofErr w:type="spellStart"/>
      <w:r>
        <w:rPr>
          <w:rFonts w:ascii="Arial" w:hAnsi="Arial" w:cs="Arial"/>
          <w:sz w:val="24"/>
          <w:szCs w:val="24"/>
        </w:rPr>
        <w:t>Maribyrnong</w:t>
      </w:r>
      <w:proofErr w:type="spellEnd"/>
      <w:r>
        <w:rPr>
          <w:rFonts w:ascii="Arial" w:hAnsi="Arial" w:cs="Arial"/>
          <w:sz w:val="24"/>
          <w:szCs w:val="24"/>
        </w:rPr>
        <w:t xml:space="preserve"> Planning Scheme Clause 22.06 Gaming (Local Planning Policy)</w:t>
      </w:r>
    </w:p>
    <w:p w:rsidR="001C0AC9" w:rsidRPr="001C0AC9" w:rsidRDefault="001C0AC9" w:rsidP="00DC33EB">
      <w:pPr>
        <w:pStyle w:val="ListParagraph"/>
        <w:numPr>
          <w:ilvl w:val="0"/>
          <w:numId w:val="6"/>
        </w:numPr>
        <w:jc w:val="both"/>
        <w:rPr>
          <w:rFonts w:ascii="Arial" w:hAnsi="Arial" w:cs="Arial"/>
          <w:iCs/>
          <w:sz w:val="24"/>
          <w:szCs w:val="24"/>
          <w:lang w:val="en-AU"/>
        </w:rPr>
      </w:pPr>
      <w:bookmarkStart w:id="18" w:name="_Toc392440899"/>
      <w:bookmarkStart w:id="19" w:name="_Toc365881850"/>
      <w:bookmarkStart w:id="20" w:name="_Toc430794700"/>
      <w:proofErr w:type="spellStart"/>
      <w:r>
        <w:rPr>
          <w:rFonts w:ascii="Arial" w:hAnsi="Arial" w:cs="Arial"/>
          <w:sz w:val="24"/>
          <w:szCs w:val="24"/>
        </w:rPr>
        <w:t>Maribyrnong</w:t>
      </w:r>
      <w:proofErr w:type="spellEnd"/>
      <w:r>
        <w:rPr>
          <w:rFonts w:ascii="Arial" w:hAnsi="Arial" w:cs="Arial"/>
          <w:sz w:val="24"/>
          <w:szCs w:val="24"/>
        </w:rPr>
        <w:t xml:space="preserve"> City Council Plan 2013-2017</w:t>
      </w:r>
    </w:p>
    <w:p w:rsidR="00EF4817" w:rsidRPr="00D95D60" w:rsidRDefault="00EF4817" w:rsidP="00DC33EB">
      <w:pPr>
        <w:pStyle w:val="ListParagraph"/>
        <w:numPr>
          <w:ilvl w:val="0"/>
          <w:numId w:val="6"/>
        </w:numPr>
        <w:jc w:val="both"/>
        <w:rPr>
          <w:rFonts w:ascii="Arial" w:hAnsi="Arial" w:cs="Arial"/>
          <w:iCs/>
          <w:sz w:val="24"/>
          <w:szCs w:val="24"/>
          <w:lang w:val="en-AU"/>
        </w:rPr>
      </w:pPr>
      <w:r w:rsidRPr="00D95D60">
        <w:rPr>
          <w:rFonts w:ascii="Arial" w:hAnsi="Arial" w:cs="Arial"/>
          <w:sz w:val="24"/>
          <w:szCs w:val="24"/>
        </w:rPr>
        <w:t>Human Rights and Social Justice Framework</w:t>
      </w:r>
      <w:bookmarkEnd w:id="18"/>
      <w:bookmarkEnd w:id="19"/>
      <w:r w:rsidRPr="00D95D60">
        <w:rPr>
          <w:rFonts w:ascii="Arial" w:hAnsi="Arial" w:cs="Arial"/>
          <w:sz w:val="24"/>
          <w:szCs w:val="24"/>
        </w:rPr>
        <w:t xml:space="preserve"> 2013-2016</w:t>
      </w:r>
      <w:bookmarkEnd w:id="20"/>
    </w:p>
    <w:p w:rsidR="00EF4817" w:rsidRPr="00D95D60" w:rsidRDefault="00EF4817" w:rsidP="00DC33EB">
      <w:pPr>
        <w:pStyle w:val="ListParagraph"/>
        <w:numPr>
          <w:ilvl w:val="0"/>
          <w:numId w:val="6"/>
        </w:numPr>
        <w:jc w:val="both"/>
        <w:rPr>
          <w:rStyle w:val="Emphasis"/>
          <w:rFonts w:ascii="Arial" w:hAnsi="Arial"/>
          <w:i/>
          <w:lang w:val="en-AU"/>
        </w:rPr>
      </w:pPr>
      <w:r w:rsidRPr="00D95D60">
        <w:rPr>
          <w:rStyle w:val="Emphasis"/>
          <w:rFonts w:ascii="Arial" w:hAnsi="Arial"/>
          <w:lang w:val="en-AU"/>
        </w:rPr>
        <w:t>Revitalising Braybrook Strategy and Action Plan 2013-2015</w:t>
      </w:r>
    </w:p>
    <w:p w:rsidR="00EF4817" w:rsidRPr="00D95D60" w:rsidRDefault="00EF4817" w:rsidP="00DC33EB">
      <w:pPr>
        <w:pStyle w:val="Pagetitle"/>
        <w:pBdr>
          <w:bottom w:val="single" w:sz="4" w:space="1" w:color="auto"/>
        </w:pBdr>
        <w:jc w:val="both"/>
        <w:rPr>
          <w:rStyle w:val="Emphasis"/>
          <w:i/>
          <w:color w:val="auto"/>
        </w:rPr>
      </w:pPr>
      <w:bookmarkStart w:id="21" w:name="_Toc342565503"/>
      <w:bookmarkStart w:id="22" w:name="_Toc446579054"/>
      <w:r w:rsidRPr="00D95D60">
        <w:rPr>
          <w:rStyle w:val="Emphasis"/>
          <w:color w:val="auto"/>
        </w:rPr>
        <w:t>Review of Policy</w:t>
      </w:r>
      <w:bookmarkEnd w:id="21"/>
      <w:bookmarkEnd w:id="22"/>
    </w:p>
    <w:p w:rsidR="00EF4817" w:rsidRPr="00D95D60" w:rsidRDefault="00EF4817" w:rsidP="00DC33EB">
      <w:pPr>
        <w:jc w:val="both"/>
        <w:rPr>
          <w:rFonts w:ascii="Arial" w:hAnsi="Arial" w:cs="Arial"/>
          <w:sz w:val="24"/>
          <w:lang w:val="en-AU"/>
        </w:rPr>
      </w:pPr>
      <w:r w:rsidRPr="00D95D60">
        <w:rPr>
          <w:rFonts w:ascii="Arial" w:hAnsi="Arial" w:cs="Arial"/>
          <w:sz w:val="24"/>
          <w:lang w:val="en-AU"/>
        </w:rPr>
        <w:t xml:space="preserve">The policy will be reviewed four years from the date of approval, or whenever Council determines that </w:t>
      </w:r>
      <w:r w:rsidR="00364955">
        <w:rPr>
          <w:rFonts w:ascii="Arial" w:hAnsi="Arial" w:cs="Arial"/>
          <w:sz w:val="24"/>
          <w:lang w:val="en-AU"/>
        </w:rPr>
        <w:t>there is a need to amend the policy.</w:t>
      </w:r>
    </w:p>
    <w:p w:rsidR="00EF4817" w:rsidRPr="00D95D60" w:rsidRDefault="00EF4817" w:rsidP="00DC33EB">
      <w:pPr>
        <w:spacing w:before="0" w:after="200" w:line="276" w:lineRule="auto"/>
        <w:jc w:val="both"/>
        <w:rPr>
          <w:rFonts w:ascii="Arial" w:hAnsi="Arial" w:cs="Arial"/>
          <w:iCs/>
          <w:sz w:val="24"/>
          <w:lang w:val="en-AU"/>
        </w:rPr>
      </w:pPr>
    </w:p>
    <w:p w:rsidR="00C823E6" w:rsidRPr="00B40011" w:rsidRDefault="00C823E6" w:rsidP="00C823E6">
      <w:pPr>
        <w:pStyle w:val="Pagetitle"/>
        <w:pBdr>
          <w:bottom w:val="single" w:sz="4" w:space="1" w:color="auto"/>
        </w:pBdr>
        <w:jc w:val="both"/>
        <w:rPr>
          <w:rStyle w:val="Emphasis"/>
          <w:i/>
        </w:rPr>
      </w:pPr>
      <w:bookmarkStart w:id="23" w:name="_Toc446579055"/>
      <w:r w:rsidRPr="00B40011">
        <w:rPr>
          <w:rStyle w:val="Emphasis"/>
        </w:rPr>
        <w:t>Definitions</w:t>
      </w:r>
      <w:bookmarkEnd w:id="23"/>
    </w:p>
    <w:p w:rsidR="00C823E6" w:rsidRPr="004B79A8" w:rsidRDefault="00C823E6" w:rsidP="00C823E6">
      <w:pPr>
        <w:spacing w:before="0" w:after="0"/>
        <w:jc w:val="both"/>
        <w:rPr>
          <w:rFonts w:ascii="Arial" w:hAnsi="Arial" w:cs="Arial"/>
          <w:i/>
          <w:sz w:val="24"/>
          <w:lang w:val="en-AU"/>
        </w:rPr>
      </w:pPr>
    </w:p>
    <w:tbl>
      <w:tblPr>
        <w:tblW w:w="5000" w:type="pct"/>
        <w:tblBorders>
          <w:bottom w:val="single" w:sz="4" w:space="0" w:color="auto"/>
          <w:insideH w:val="single" w:sz="4" w:space="0" w:color="auto"/>
        </w:tblBorders>
        <w:tblLayout w:type="fixed"/>
        <w:tblLook w:val="01E0" w:firstRow="1" w:lastRow="1" w:firstColumn="1" w:lastColumn="1" w:noHBand="0" w:noVBand="0"/>
      </w:tblPr>
      <w:tblGrid>
        <w:gridCol w:w="2181"/>
        <w:gridCol w:w="6459"/>
      </w:tblGrid>
      <w:tr w:rsidR="00C823E6" w:rsidRPr="004B79A8" w:rsidTr="00786721">
        <w:trPr>
          <w:trHeight w:val="284"/>
        </w:trPr>
        <w:tc>
          <w:tcPr>
            <w:tcW w:w="1262" w:type="pct"/>
            <w:tcBorders>
              <w:top w:val="nil"/>
            </w:tcBorders>
            <w:shd w:val="clear" w:color="auto" w:fill="14003C"/>
            <w:vAlign w:val="center"/>
          </w:tcPr>
          <w:p w:rsidR="00C823E6" w:rsidRPr="004B79A8" w:rsidRDefault="00C823E6" w:rsidP="00786721">
            <w:pPr>
              <w:tabs>
                <w:tab w:val="left" w:pos="-321"/>
                <w:tab w:val="left" w:pos="720"/>
                <w:tab w:val="left" w:pos="1440"/>
                <w:tab w:val="left" w:pos="2160"/>
                <w:tab w:val="left" w:pos="2880"/>
                <w:tab w:val="left" w:pos="3600"/>
                <w:tab w:val="left" w:pos="4320"/>
              </w:tabs>
              <w:autoSpaceDE w:val="0"/>
              <w:autoSpaceDN w:val="0"/>
              <w:adjustRightInd w:val="0"/>
              <w:jc w:val="both"/>
              <w:rPr>
                <w:rFonts w:ascii="Arial" w:hAnsi="Arial" w:cs="Arial"/>
                <w:b/>
                <w:color w:val="FFFFFF"/>
                <w:sz w:val="24"/>
                <w:lang w:val="en-AU"/>
              </w:rPr>
            </w:pPr>
            <w:r w:rsidRPr="004B79A8">
              <w:rPr>
                <w:rFonts w:ascii="Arial" w:hAnsi="Arial" w:cs="Arial"/>
                <w:b/>
                <w:color w:val="FFFFFF"/>
                <w:sz w:val="24"/>
                <w:lang w:val="en-AU"/>
              </w:rPr>
              <w:t>Term</w:t>
            </w:r>
          </w:p>
        </w:tc>
        <w:tc>
          <w:tcPr>
            <w:tcW w:w="3738" w:type="pct"/>
            <w:tcBorders>
              <w:top w:val="nil"/>
            </w:tcBorders>
            <w:shd w:val="clear" w:color="auto" w:fill="14003C"/>
            <w:vAlign w:val="center"/>
          </w:tcPr>
          <w:p w:rsidR="00C823E6" w:rsidRPr="004B79A8" w:rsidRDefault="00C823E6" w:rsidP="00786721">
            <w:pPr>
              <w:tabs>
                <w:tab w:val="left" w:pos="-321"/>
                <w:tab w:val="left" w:pos="720"/>
                <w:tab w:val="left" w:pos="1440"/>
                <w:tab w:val="left" w:pos="2160"/>
                <w:tab w:val="left" w:pos="2880"/>
                <w:tab w:val="left" w:pos="3600"/>
                <w:tab w:val="left" w:pos="4320"/>
              </w:tabs>
              <w:autoSpaceDE w:val="0"/>
              <w:autoSpaceDN w:val="0"/>
              <w:adjustRightInd w:val="0"/>
              <w:jc w:val="both"/>
              <w:rPr>
                <w:rFonts w:ascii="Arial" w:hAnsi="Arial" w:cs="Arial"/>
                <w:b/>
                <w:color w:val="FFFFFF"/>
                <w:sz w:val="24"/>
                <w:lang w:val="en-AU"/>
              </w:rPr>
            </w:pPr>
            <w:r w:rsidRPr="004B79A8">
              <w:rPr>
                <w:rFonts w:ascii="Arial" w:hAnsi="Arial" w:cs="Arial"/>
                <w:b/>
                <w:color w:val="FFFFFF"/>
                <w:sz w:val="24"/>
                <w:lang w:val="en-AU"/>
              </w:rPr>
              <w:t>Definition</w:t>
            </w:r>
          </w:p>
        </w:tc>
      </w:tr>
      <w:tr w:rsidR="00C823E6" w:rsidRPr="004B79A8" w:rsidTr="00786721">
        <w:tc>
          <w:tcPr>
            <w:tcW w:w="1262" w:type="pct"/>
          </w:tcPr>
          <w:p w:rsidR="00C823E6" w:rsidRPr="004B79A8" w:rsidRDefault="00C823E6" w:rsidP="00786721">
            <w:pPr>
              <w:jc w:val="both"/>
              <w:rPr>
                <w:rFonts w:ascii="Arial" w:hAnsi="Arial" w:cs="Arial"/>
                <w:color w:val="000000"/>
                <w:sz w:val="24"/>
                <w:lang w:val="en-AU"/>
              </w:rPr>
            </w:pPr>
            <w:r w:rsidRPr="004B79A8">
              <w:rPr>
                <w:rFonts w:ascii="Arial" w:hAnsi="Arial" w:cs="Arial"/>
                <w:b/>
                <w:sz w:val="24"/>
              </w:rPr>
              <w:t>Gambling</w:t>
            </w:r>
            <w:r w:rsidRPr="004B79A8">
              <w:rPr>
                <w:rFonts w:ascii="Arial" w:hAnsi="Arial" w:cs="Arial"/>
                <w:sz w:val="24"/>
              </w:rPr>
              <w:t xml:space="preserve">                                            </w:t>
            </w:r>
          </w:p>
        </w:tc>
        <w:tc>
          <w:tcPr>
            <w:tcW w:w="3738" w:type="pct"/>
          </w:tcPr>
          <w:p w:rsidR="00C823E6" w:rsidRPr="004B79A8" w:rsidRDefault="00C823E6" w:rsidP="00786721">
            <w:pPr>
              <w:tabs>
                <w:tab w:val="left" w:pos="-321"/>
                <w:tab w:val="left" w:pos="720"/>
                <w:tab w:val="left" w:pos="1440"/>
                <w:tab w:val="left" w:pos="2160"/>
                <w:tab w:val="left" w:pos="2880"/>
                <w:tab w:val="left" w:pos="3600"/>
                <w:tab w:val="left" w:pos="4320"/>
              </w:tabs>
              <w:autoSpaceDE w:val="0"/>
              <w:autoSpaceDN w:val="0"/>
              <w:adjustRightInd w:val="0"/>
              <w:jc w:val="both"/>
              <w:rPr>
                <w:rFonts w:ascii="Arial" w:hAnsi="Arial" w:cs="Arial"/>
                <w:b/>
                <w:color w:val="000000"/>
                <w:sz w:val="24"/>
                <w:lang w:val="en-AU"/>
              </w:rPr>
            </w:pPr>
            <w:r w:rsidRPr="004B79A8">
              <w:rPr>
                <w:rFonts w:ascii="Arial" w:hAnsi="Arial" w:cs="Arial"/>
                <w:sz w:val="24"/>
              </w:rPr>
              <w:t>An entertainment based on staking money on uncertain events driven by chance, with the potential to win more than staked, but with the ultimate certainty that gamblers as a group will lose over time. Legal gambling in Australia may take many forms including on and off course bookmakers, the TAB, casinos, gaming machines, instant lottery, interactive gaming, Keno, lotteries, lotto, pools and sports betting</w:t>
            </w:r>
            <w:r w:rsidRPr="004B79A8">
              <w:rPr>
                <w:rStyle w:val="FootnoteReference"/>
                <w:rFonts w:ascii="Arial" w:hAnsi="Arial" w:cs="Arial"/>
                <w:sz w:val="24"/>
              </w:rPr>
              <w:footnoteReference w:id="3"/>
            </w:r>
          </w:p>
        </w:tc>
      </w:tr>
      <w:tr w:rsidR="00C823E6" w:rsidRPr="004B79A8" w:rsidTr="00786721">
        <w:tc>
          <w:tcPr>
            <w:tcW w:w="1262" w:type="pct"/>
            <w:tcBorders>
              <w:bottom w:val="single" w:sz="4" w:space="0" w:color="auto"/>
            </w:tcBorders>
          </w:tcPr>
          <w:p w:rsidR="00C823E6" w:rsidRPr="004B79A8" w:rsidRDefault="00C823E6" w:rsidP="00786721">
            <w:pPr>
              <w:jc w:val="both"/>
              <w:rPr>
                <w:rFonts w:ascii="Arial" w:hAnsi="Arial" w:cs="Arial"/>
                <w:color w:val="000000"/>
                <w:sz w:val="24"/>
                <w:lang w:val="en-AU"/>
              </w:rPr>
            </w:pPr>
            <w:r w:rsidRPr="004B79A8">
              <w:rPr>
                <w:rFonts w:ascii="Arial" w:hAnsi="Arial" w:cs="Arial"/>
                <w:b/>
                <w:sz w:val="24"/>
              </w:rPr>
              <w:t>Gaming or EGMs</w:t>
            </w:r>
          </w:p>
        </w:tc>
        <w:tc>
          <w:tcPr>
            <w:tcW w:w="3738" w:type="pct"/>
            <w:tcBorders>
              <w:bottom w:val="single" w:sz="4" w:space="0" w:color="auto"/>
            </w:tcBorders>
          </w:tcPr>
          <w:p w:rsidR="00C823E6" w:rsidRPr="004B79A8" w:rsidRDefault="00C823E6" w:rsidP="00786721">
            <w:pPr>
              <w:tabs>
                <w:tab w:val="left" w:pos="-321"/>
                <w:tab w:val="left" w:pos="720"/>
                <w:tab w:val="left" w:pos="1440"/>
                <w:tab w:val="left" w:pos="2160"/>
                <w:tab w:val="left" w:pos="2880"/>
                <w:tab w:val="left" w:pos="3600"/>
                <w:tab w:val="left" w:pos="4320"/>
              </w:tabs>
              <w:autoSpaceDE w:val="0"/>
              <w:autoSpaceDN w:val="0"/>
              <w:adjustRightInd w:val="0"/>
              <w:jc w:val="both"/>
              <w:rPr>
                <w:rFonts w:ascii="Arial" w:hAnsi="Arial" w:cs="Arial"/>
                <w:color w:val="000000"/>
                <w:sz w:val="24"/>
                <w:lang w:val="en-AU"/>
              </w:rPr>
            </w:pPr>
            <w:r w:rsidRPr="004B79A8">
              <w:rPr>
                <w:rFonts w:ascii="Arial" w:hAnsi="Arial" w:cs="Arial"/>
                <w:color w:val="000000"/>
                <w:sz w:val="24"/>
                <w:lang w:val="en-AU"/>
              </w:rPr>
              <w:t>A form of gambling using Electronic Gaming Machines (EGM) otherwise known as pokies</w:t>
            </w:r>
          </w:p>
        </w:tc>
      </w:tr>
      <w:tr w:rsidR="00C823E6" w:rsidRPr="004B79A8" w:rsidTr="00786721">
        <w:tc>
          <w:tcPr>
            <w:tcW w:w="1262" w:type="pct"/>
            <w:tcBorders>
              <w:top w:val="single" w:sz="4" w:space="0" w:color="auto"/>
            </w:tcBorders>
          </w:tcPr>
          <w:p w:rsidR="00C823E6" w:rsidRPr="004B79A8" w:rsidRDefault="00C823E6" w:rsidP="00786721">
            <w:pPr>
              <w:autoSpaceDE w:val="0"/>
              <w:autoSpaceDN w:val="0"/>
              <w:adjustRightInd w:val="0"/>
              <w:spacing w:after="0"/>
              <w:jc w:val="both"/>
              <w:rPr>
                <w:rFonts w:ascii="Arial" w:hAnsi="Arial" w:cs="Arial"/>
                <w:b/>
                <w:color w:val="000000"/>
                <w:sz w:val="24"/>
                <w:lang w:val="en-AU"/>
              </w:rPr>
            </w:pPr>
            <w:r w:rsidRPr="004B79A8">
              <w:rPr>
                <w:rFonts w:ascii="Arial" w:hAnsi="Arial" w:cs="Arial"/>
                <w:b/>
                <w:sz w:val="24"/>
              </w:rPr>
              <w:t>Community net benefit</w:t>
            </w:r>
          </w:p>
        </w:tc>
        <w:tc>
          <w:tcPr>
            <w:tcW w:w="3738" w:type="pct"/>
            <w:tcBorders>
              <w:top w:val="single" w:sz="4" w:space="0" w:color="auto"/>
            </w:tcBorders>
          </w:tcPr>
          <w:p w:rsidR="00C823E6" w:rsidRPr="004B79A8" w:rsidRDefault="00C823E6" w:rsidP="00786721">
            <w:pPr>
              <w:tabs>
                <w:tab w:val="left" w:pos="-321"/>
                <w:tab w:val="left" w:pos="720"/>
                <w:tab w:val="left" w:pos="1440"/>
                <w:tab w:val="left" w:pos="2160"/>
                <w:tab w:val="left" w:pos="2880"/>
                <w:tab w:val="left" w:pos="3600"/>
                <w:tab w:val="left" w:pos="4320"/>
              </w:tabs>
              <w:autoSpaceDE w:val="0"/>
              <w:autoSpaceDN w:val="0"/>
              <w:adjustRightInd w:val="0"/>
              <w:jc w:val="both"/>
              <w:rPr>
                <w:rFonts w:ascii="Arial" w:hAnsi="Arial" w:cs="Arial"/>
                <w:color w:val="000000"/>
                <w:sz w:val="24"/>
                <w:lang w:val="en-AU"/>
              </w:rPr>
            </w:pPr>
            <w:r w:rsidRPr="004B79A8">
              <w:rPr>
                <w:rFonts w:ascii="Arial" w:hAnsi="Arial" w:cs="Arial"/>
                <w:color w:val="000000"/>
                <w:sz w:val="24"/>
                <w:lang w:val="en-AU"/>
              </w:rPr>
              <w:t>Under Clause 11 of the Planning and Environment Act 1987, it is the State Governments expectation that planning and responsible Authorities will endeavour to integrate the range of policies relevant to the [gambling] issues to be determined and balance conflicting [individual] objectives in favour of net community benefit ( economic, social and physical) and sustainable development.</w:t>
            </w:r>
          </w:p>
        </w:tc>
      </w:tr>
      <w:tr w:rsidR="00C823E6" w:rsidRPr="004B79A8" w:rsidTr="00786721">
        <w:tc>
          <w:tcPr>
            <w:tcW w:w="1262" w:type="pct"/>
            <w:tcBorders>
              <w:top w:val="single" w:sz="4" w:space="0" w:color="auto"/>
            </w:tcBorders>
          </w:tcPr>
          <w:p w:rsidR="00C823E6" w:rsidRPr="004B79A8" w:rsidRDefault="00C823E6" w:rsidP="00786721">
            <w:pPr>
              <w:tabs>
                <w:tab w:val="left" w:pos="-321"/>
                <w:tab w:val="left" w:pos="720"/>
                <w:tab w:val="left" w:pos="1440"/>
                <w:tab w:val="left" w:pos="2160"/>
                <w:tab w:val="left" w:pos="2880"/>
                <w:tab w:val="left" w:pos="3600"/>
                <w:tab w:val="left" w:pos="4320"/>
              </w:tabs>
              <w:autoSpaceDE w:val="0"/>
              <w:autoSpaceDN w:val="0"/>
              <w:adjustRightInd w:val="0"/>
              <w:jc w:val="both"/>
              <w:rPr>
                <w:rFonts w:ascii="Arial" w:hAnsi="Arial" w:cs="Arial"/>
                <w:b/>
                <w:color w:val="000000"/>
                <w:sz w:val="24"/>
                <w:lang w:val="en-AU"/>
              </w:rPr>
            </w:pPr>
            <w:r w:rsidRPr="004B79A8">
              <w:rPr>
                <w:rFonts w:ascii="Arial" w:hAnsi="Arial" w:cs="Arial"/>
                <w:b/>
                <w:sz w:val="24"/>
              </w:rPr>
              <w:t>Public Health &amp; Wellbeing Act 2008</w:t>
            </w:r>
          </w:p>
        </w:tc>
        <w:tc>
          <w:tcPr>
            <w:tcW w:w="3738" w:type="pct"/>
            <w:tcBorders>
              <w:top w:val="single" w:sz="4" w:space="0" w:color="auto"/>
            </w:tcBorders>
          </w:tcPr>
          <w:p w:rsidR="00C823E6" w:rsidRPr="004B79A8" w:rsidRDefault="00C823E6" w:rsidP="00786721">
            <w:pPr>
              <w:tabs>
                <w:tab w:val="left" w:pos="-321"/>
                <w:tab w:val="left" w:pos="720"/>
                <w:tab w:val="left" w:pos="1440"/>
                <w:tab w:val="left" w:pos="2160"/>
                <w:tab w:val="left" w:pos="2880"/>
                <w:tab w:val="left" w:pos="3600"/>
                <w:tab w:val="left" w:pos="4320"/>
              </w:tabs>
              <w:autoSpaceDE w:val="0"/>
              <w:autoSpaceDN w:val="0"/>
              <w:adjustRightInd w:val="0"/>
              <w:jc w:val="both"/>
              <w:rPr>
                <w:rFonts w:ascii="Arial" w:hAnsi="Arial" w:cs="Arial"/>
                <w:color w:val="000000"/>
                <w:sz w:val="24"/>
                <w:lang w:val="en-AU"/>
              </w:rPr>
            </w:pPr>
            <w:r w:rsidRPr="004B79A8">
              <w:rPr>
                <w:rFonts w:ascii="Arial" w:hAnsi="Arial" w:cs="Arial"/>
                <w:color w:val="000000"/>
                <w:sz w:val="24"/>
                <w:lang w:val="en-AU"/>
              </w:rPr>
              <w:t>The Act</w:t>
            </w:r>
            <w:r w:rsidRPr="004B79A8">
              <w:rPr>
                <w:rFonts w:ascii="Arial" w:hAnsi="Arial" w:cs="Arial"/>
                <w:sz w:val="24"/>
              </w:rPr>
              <w:t xml:space="preserve"> requires each council to create Municipal Health &amp; Wellbeing Plans to protect and promote health and wellbeing including taking steps to prevent and control public health risks</w:t>
            </w:r>
          </w:p>
        </w:tc>
      </w:tr>
      <w:tr w:rsidR="00C823E6" w:rsidRPr="004B79A8" w:rsidTr="00786721">
        <w:tc>
          <w:tcPr>
            <w:tcW w:w="1262" w:type="pct"/>
            <w:tcBorders>
              <w:top w:val="single" w:sz="4" w:space="0" w:color="auto"/>
              <w:bottom w:val="single" w:sz="4" w:space="0" w:color="auto"/>
            </w:tcBorders>
          </w:tcPr>
          <w:p w:rsidR="00C823E6" w:rsidRPr="004B79A8" w:rsidRDefault="00C823E6" w:rsidP="00786721">
            <w:pPr>
              <w:tabs>
                <w:tab w:val="left" w:pos="-321"/>
                <w:tab w:val="left" w:pos="720"/>
                <w:tab w:val="left" w:pos="1440"/>
                <w:tab w:val="left" w:pos="2160"/>
                <w:tab w:val="left" w:pos="2880"/>
                <w:tab w:val="left" w:pos="3600"/>
                <w:tab w:val="left" w:pos="4320"/>
              </w:tabs>
              <w:autoSpaceDE w:val="0"/>
              <w:autoSpaceDN w:val="0"/>
              <w:adjustRightInd w:val="0"/>
              <w:jc w:val="both"/>
              <w:rPr>
                <w:rFonts w:ascii="Arial" w:hAnsi="Arial" w:cs="Arial"/>
                <w:color w:val="000000"/>
                <w:sz w:val="24"/>
                <w:lang w:val="en-AU"/>
              </w:rPr>
            </w:pPr>
            <w:r w:rsidRPr="004B79A8">
              <w:rPr>
                <w:rFonts w:ascii="Arial" w:hAnsi="Arial" w:cs="Arial"/>
                <w:b/>
                <w:sz w:val="24"/>
              </w:rPr>
              <w:t>Gambling Harm</w:t>
            </w:r>
          </w:p>
        </w:tc>
        <w:tc>
          <w:tcPr>
            <w:tcW w:w="3738" w:type="pct"/>
            <w:tcBorders>
              <w:top w:val="single" w:sz="4" w:space="0" w:color="auto"/>
              <w:bottom w:val="single" w:sz="4" w:space="0" w:color="auto"/>
            </w:tcBorders>
          </w:tcPr>
          <w:p w:rsidR="00C823E6" w:rsidRPr="004B79A8" w:rsidRDefault="00C823E6" w:rsidP="00786721">
            <w:pPr>
              <w:tabs>
                <w:tab w:val="left" w:pos="-321"/>
                <w:tab w:val="left" w:pos="720"/>
                <w:tab w:val="left" w:pos="1440"/>
                <w:tab w:val="left" w:pos="2160"/>
                <w:tab w:val="left" w:pos="2880"/>
                <w:tab w:val="left" w:pos="3600"/>
                <w:tab w:val="left" w:pos="4320"/>
              </w:tabs>
              <w:autoSpaceDE w:val="0"/>
              <w:autoSpaceDN w:val="0"/>
              <w:adjustRightInd w:val="0"/>
              <w:jc w:val="both"/>
              <w:rPr>
                <w:rFonts w:ascii="Arial" w:hAnsi="Arial" w:cs="Arial"/>
                <w:b/>
                <w:color w:val="000000"/>
                <w:sz w:val="24"/>
                <w:lang w:val="en-AU"/>
              </w:rPr>
            </w:pPr>
            <w:r w:rsidRPr="004B79A8">
              <w:rPr>
                <w:rFonts w:ascii="Arial" w:hAnsi="Arial" w:cs="Arial"/>
                <w:sz w:val="24"/>
              </w:rPr>
              <w:t xml:space="preserve">A broad term used to describe the adverse health, social and economic consequences of gambling </w:t>
            </w:r>
            <w:proofErr w:type="spellStart"/>
            <w:r w:rsidRPr="004B79A8">
              <w:rPr>
                <w:rFonts w:ascii="Arial" w:hAnsi="Arial" w:cs="Arial"/>
                <w:sz w:val="24"/>
              </w:rPr>
              <w:t>behaviour</w:t>
            </w:r>
            <w:proofErr w:type="spellEnd"/>
            <w:r w:rsidRPr="004B79A8">
              <w:rPr>
                <w:rFonts w:ascii="Arial" w:hAnsi="Arial" w:cs="Arial"/>
                <w:sz w:val="24"/>
              </w:rPr>
              <w:t xml:space="preserve"> for individuals, families, and communities.</w:t>
            </w:r>
          </w:p>
        </w:tc>
      </w:tr>
      <w:tr w:rsidR="00C823E6" w:rsidRPr="004B79A8" w:rsidTr="00786721">
        <w:tc>
          <w:tcPr>
            <w:tcW w:w="1262" w:type="pct"/>
            <w:tcBorders>
              <w:top w:val="single" w:sz="4" w:space="0" w:color="auto"/>
              <w:bottom w:val="single" w:sz="4" w:space="0" w:color="auto"/>
            </w:tcBorders>
          </w:tcPr>
          <w:p w:rsidR="00C823E6" w:rsidRPr="004B79A8" w:rsidRDefault="00C823E6" w:rsidP="00786721">
            <w:pPr>
              <w:tabs>
                <w:tab w:val="left" w:pos="-321"/>
                <w:tab w:val="left" w:pos="720"/>
                <w:tab w:val="left" w:pos="1440"/>
                <w:tab w:val="left" w:pos="2160"/>
                <w:tab w:val="left" w:pos="2880"/>
                <w:tab w:val="left" w:pos="3600"/>
                <w:tab w:val="left" w:pos="4320"/>
              </w:tabs>
              <w:autoSpaceDE w:val="0"/>
              <w:autoSpaceDN w:val="0"/>
              <w:adjustRightInd w:val="0"/>
              <w:jc w:val="both"/>
              <w:rPr>
                <w:rFonts w:ascii="Arial" w:hAnsi="Arial" w:cs="Arial"/>
                <w:color w:val="000000"/>
                <w:sz w:val="24"/>
                <w:lang w:val="en-AU"/>
              </w:rPr>
            </w:pPr>
            <w:r w:rsidRPr="004B79A8">
              <w:rPr>
                <w:rFonts w:ascii="Arial" w:hAnsi="Arial" w:cs="Arial"/>
                <w:b/>
                <w:sz w:val="24"/>
              </w:rPr>
              <w:t>Gambling Regulation Act 2003</w:t>
            </w:r>
          </w:p>
        </w:tc>
        <w:tc>
          <w:tcPr>
            <w:tcW w:w="3738" w:type="pct"/>
            <w:tcBorders>
              <w:top w:val="single" w:sz="4" w:space="0" w:color="auto"/>
              <w:bottom w:val="single" w:sz="4" w:space="0" w:color="auto"/>
            </w:tcBorders>
          </w:tcPr>
          <w:p w:rsidR="00C823E6" w:rsidRPr="004B79A8" w:rsidRDefault="00C823E6" w:rsidP="00786721">
            <w:pPr>
              <w:spacing w:before="0" w:after="0" w:line="276" w:lineRule="auto"/>
              <w:jc w:val="both"/>
              <w:rPr>
                <w:rFonts w:ascii="Arial" w:hAnsi="Arial" w:cs="Arial"/>
                <w:sz w:val="24"/>
              </w:rPr>
            </w:pPr>
            <w:r w:rsidRPr="004B79A8">
              <w:rPr>
                <w:rFonts w:ascii="Arial" w:hAnsi="Arial" w:cs="Arial"/>
                <w:sz w:val="24"/>
              </w:rPr>
              <w:t>Consolidates the law relating to gambling in Victoria, and prescribes the process for the installation of EGMs. The Act confers power to the</w:t>
            </w:r>
            <w:r w:rsidRPr="004B79A8">
              <w:rPr>
                <w:rFonts w:ascii="Arial" w:hAnsi="Arial" w:cs="Arial"/>
                <w:b/>
                <w:sz w:val="24"/>
              </w:rPr>
              <w:t xml:space="preserve"> </w:t>
            </w:r>
            <w:r w:rsidRPr="004B79A8">
              <w:rPr>
                <w:rFonts w:ascii="Arial" w:hAnsi="Arial" w:cs="Arial"/>
                <w:sz w:val="24"/>
              </w:rPr>
              <w:t xml:space="preserve">Victorian Commission for Gaming &amp; Liquor Regulation to grant the approval of premises as suitable for gambling and making amendments to venue operator’s </w:t>
            </w:r>
            <w:proofErr w:type="spellStart"/>
            <w:r w:rsidRPr="004B79A8">
              <w:rPr>
                <w:rFonts w:ascii="Arial" w:hAnsi="Arial" w:cs="Arial"/>
                <w:sz w:val="24"/>
              </w:rPr>
              <w:t>licence</w:t>
            </w:r>
            <w:proofErr w:type="spellEnd"/>
            <w:r w:rsidRPr="004B79A8">
              <w:rPr>
                <w:rFonts w:ascii="Arial" w:hAnsi="Arial" w:cs="Arial"/>
                <w:sz w:val="24"/>
              </w:rPr>
              <w:t>.</w:t>
            </w:r>
          </w:p>
        </w:tc>
      </w:tr>
      <w:tr w:rsidR="00C823E6" w:rsidRPr="004B79A8" w:rsidTr="00786721">
        <w:tc>
          <w:tcPr>
            <w:tcW w:w="1262" w:type="pct"/>
            <w:tcBorders>
              <w:top w:val="single" w:sz="4" w:space="0" w:color="auto"/>
              <w:bottom w:val="single" w:sz="4" w:space="0" w:color="auto"/>
            </w:tcBorders>
          </w:tcPr>
          <w:p w:rsidR="00C823E6" w:rsidRPr="004B79A8" w:rsidRDefault="00C823E6" w:rsidP="00786721">
            <w:pPr>
              <w:tabs>
                <w:tab w:val="left" w:pos="-321"/>
                <w:tab w:val="left" w:pos="720"/>
                <w:tab w:val="left" w:pos="1440"/>
                <w:tab w:val="left" w:pos="2160"/>
                <w:tab w:val="left" w:pos="2880"/>
                <w:tab w:val="left" w:pos="3600"/>
                <w:tab w:val="left" w:pos="4320"/>
              </w:tabs>
              <w:autoSpaceDE w:val="0"/>
              <w:autoSpaceDN w:val="0"/>
              <w:adjustRightInd w:val="0"/>
              <w:jc w:val="both"/>
              <w:rPr>
                <w:rFonts w:ascii="Arial" w:hAnsi="Arial" w:cs="Arial"/>
                <w:color w:val="000000"/>
                <w:sz w:val="24"/>
                <w:lang w:val="en-AU"/>
              </w:rPr>
            </w:pPr>
            <w:r w:rsidRPr="004B79A8">
              <w:rPr>
                <w:rFonts w:ascii="Arial" w:hAnsi="Arial" w:cs="Arial"/>
                <w:b/>
                <w:sz w:val="24"/>
              </w:rPr>
              <w:t>Gambling venues</w:t>
            </w:r>
          </w:p>
        </w:tc>
        <w:tc>
          <w:tcPr>
            <w:tcW w:w="3738" w:type="pct"/>
            <w:tcBorders>
              <w:top w:val="single" w:sz="4" w:space="0" w:color="auto"/>
              <w:bottom w:val="single" w:sz="4" w:space="0" w:color="auto"/>
            </w:tcBorders>
          </w:tcPr>
          <w:p w:rsidR="00C823E6" w:rsidRPr="004B79A8" w:rsidRDefault="00C823E6" w:rsidP="00786721">
            <w:pPr>
              <w:tabs>
                <w:tab w:val="left" w:pos="-321"/>
                <w:tab w:val="left" w:pos="720"/>
                <w:tab w:val="left" w:pos="1440"/>
                <w:tab w:val="left" w:pos="2160"/>
                <w:tab w:val="left" w:pos="2880"/>
                <w:tab w:val="left" w:pos="3600"/>
                <w:tab w:val="left" w:pos="4320"/>
              </w:tabs>
              <w:autoSpaceDE w:val="0"/>
              <w:autoSpaceDN w:val="0"/>
              <w:adjustRightInd w:val="0"/>
              <w:jc w:val="both"/>
              <w:rPr>
                <w:rFonts w:ascii="Arial" w:hAnsi="Arial" w:cs="Arial"/>
                <w:b/>
                <w:color w:val="000000"/>
                <w:sz w:val="24"/>
                <w:lang w:val="en-AU"/>
              </w:rPr>
            </w:pPr>
            <w:r w:rsidRPr="004B79A8">
              <w:rPr>
                <w:rFonts w:ascii="Arial" w:hAnsi="Arial" w:cs="Arial"/>
                <w:sz w:val="24"/>
              </w:rPr>
              <w:t>Refers to licensed clubs and hotels in which electronic gaming machines are located and where other forms of gambling may also be situated.</w:t>
            </w:r>
          </w:p>
        </w:tc>
      </w:tr>
      <w:tr w:rsidR="00C823E6" w:rsidRPr="004B79A8" w:rsidTr="00786721">
        <w:tc>
          <w:tcPr>
            <w:tcW w:w="1262" w:type="pct"/>
            <w:tcBorders>
              <w:top w:val="single" w:sz="4" w:space="0" w:color="auto"/>
              <w:bottom w:val="single" w:sz="4" w:space="0" w:color="auto"/>
            </w:tcBorders>
          </w:tcPr>
          <w:p w:rsidR="00C823E6" w:rsidRPr="004B79A8" w:rsidRDefault="00C823E6" w:rsidP="00786721">
            <w:pPr>
              <w:tabs>
                <w:tab w:val="left" w:pos="-321"/>
                <w:tab w:val="left" w:pos="720"/>
                <w:tab w:val="left" w:pos="1440"/>
                <w:tab w:val="left" w:pos="2160"/>
                <w:tab w:val="left" w:pos="2880"/>
                <w:tab w:val="left" w:pos="3600"/>
                <w:tab w:val="left" w:pos="4320"/>
              </w:tabs>
              <w:autoSpaceDE w:val="0"/>
              <w:autoSpaceDN w:val="0"/>
              <w:adjustRightInd w:val="0"/>
              <w:jc w:val="both"/>
              <w:rPr>
                <w:rFonts w:ascii="Arial" w:hAnsi="Arial" w:cs="Arial"/>
                <w:color w:val="000000"/>
                <w:sz w:val="24"/>
                <w:lang w:val="en-AU"/>
              </w:rPr>
            </w:pPr>
            <w:r w:rsidRPr="004B79A8">
              <w:rPr>
                <w:rFonts w:ascii="Arial" w:hAnsi="Arial" w:cs="Arial"/>
                <w:b/>
                <w:sz w:val="24"/>
              </w:rPr>
              <w:t xml:space="preserve">Harm </w:t>
            </w:r>
            <w:proofErr w:type="spellStart"/>
            <w:r w:rsidRPr="004B79A8">
              <w:rPr>
                <w:rFonts w:ascii="Arial" w:hAnsi="Arial" w:cs="Arial"/>
                <w:b/>
                <w:sz w:val="24"/>
              </w:rPr>
              <w:t>minimisation</w:t>
            </w:r>
            <w:proofErr w:type="spellEnd"/>
          </w:p>
        </w:tc>
        <w:tc>
          <w:tcPr>
            <w:tcW w:w="3738" w:type="pct"/>
            <w:tcBorders>
              <w:top w:val="single" w:sz="4" w:space="0" w:color="auto"/>
              <w:bottom w:val="single" w:sz="4" w:space="0" w:color="auto"/>
            </w:tcBorders>
          </w:tcPr>
          <w:p w:rsidR="00C823E6" w:rsidRPr="004B79A8" w:rsidRDefault="00C823E6" w:rsidP="00786721">
            <w:pPr>
              <w:spacing w:before="0" w:after="0" w:line="276" w:lineRule="auto"/>
              <w:jc w:val="both"/>
              <w:rPr>
                <w:rFonts w:ascii="Arial" w:hAnsi="Arial" w:cs="Arial"/>
                <w:b/>
                <w:sz w:val="24"/>
              </w:rPr>
            </w:pPr>
            <w:r w:rsidRPr="004B79A8">
              <w:rPr>
                <w:rFonts w:ascii="Arial" w:hAnsi="Arial" w:cs="Arial"/>
                <w:color w:val="222222"/>
                <w:sz w:val="24"/>
              </w:rPr>
              <w:t>Aims to address addictive issues by reducing the harmful effects on individuals and society</w:t>
            </w:r>
          </w:p>
        </w:tc>
      </w:tr>
      <w:tr w:rsidR="00C823E6" w:rsidRPr="004B79A8" w:rsidTr="00786721">
        <w:tc>
          <w:tcPr>
            <w:tcW w:w="1262" w:type="pct"/>
            <w:tcBorders>
              <w:top w:val="single" w:sz="4" w:space="0" w:color="auto"/>
              <w:bottom w:val="single" w:sz="4" w:space="0" w:color="auto"/>
            </w:tcBorders>
          </w:tcPr>
          <w:p w:rsidR="00C823E6" w:rsidRPr="004B79A8" w:rsidRDefault="00C823E6" w:rsidP="00786721">
            <w:pPr>
              <w:tabs>
                <w:tab w:val="left" w:pos="-321"/>
                <w:tab w:val="left" w:pos="720"/>
                <w:tab w:val="left" w:pos="1440"/>
                <w:tab w:val="left" w:pos="2160"/>
                <w:tab w:val="left" w:pos="2880"/>
                <w:tab w:val="left" w:pos="3600"/>
                <w:tab w:val="left" w:pos="4320"/>
              </w:tabs>
              <w:autoSpaceDE w:val="0"/>
              <w:autoSpaceDN w:val="0"/>
              <w:adjustRightInd w:val="0"/>
              <w:jc w:val="both"/>
              <w:rPr>
                <w:rFonts w:ascii="Arial" w:hAnsi="Arial" w:cs="Arial"/>
                <w:color w:val="000000"/>
                <w:sz w:val="24"/>
                <w:lang w:val="en-AU"/>
              </w:rPr>
            </w:pPr>
            <w:r w:rsidRPr="004B79A8">
              <w:rPr>
                <w:rFonts w:ascii="Arial" w:hAnsi="Arial" w:cs="Arial"/>
                <w:b/>
                <w:sz w:val="24"/>
              </w:rPr>
              <w:t>Gaming Expenditure</w:t>
            </w:r>
          </w:p>
        </w:tc>
        <w:tc>
          <w:tcPr>
            <w:tcW w:w="3738" w:type="pct"/>
            <w:tcBorders>
              <w:top w:val="single" w:sz="4" w:space="0" w:color="auto"/>
              <w:bottom w:val="single" w:sz="4" w:space="0" w:color="auto"/>
            </w:tcBorders>
          </w:tcPr>
          <w:p w:rsidR="00C823E6" w:rsidRPr="004B79A8" w:rsidRDefault="00C823E6" w:rsidP="00786721">
            <w:pPr>
              <w:tabs>
                <w:tab w:val="left" w:pos="-321"/>
                <w:tab w:val="left" w:pos="720"/>
                <w:tab w:val="left" w:pos="1440"/>
                <w:tab w:val="left" w:pos="2160"/>
                <w:tab w:val="left" w:pos="2880"/>
                <w:tab w:val="left" w:pos="3600"/>
                <w:tab w:val="left" w:pos="4320"/>
              </w:tabs>
              <w:autoSpaceDE w:val="0"/>
              <w:autoSpaceDN w:val="0"/>
              <w:adjustRightInd w:val="0"/>
              <w:jc w:val="both"/>
              <w:rPr>
                <w:rFonts w:ascii="Arial" w:hAnsi="Arial" w:cs="Arial"/>
                <w:b/>
                <w:color w:val="000000"/>
                <w:sz w:val="24"/>
                <w:lang w:val="en-AU"/>
              </w:rPr>
            </w:pPr>
            <w:r w:rsidRPr="004B79A8">
              <w:rPr>
                <w:rFonts w:ascii="Arial" w:hAnsi="Arial" w:cs="Arial"/>
                <w:sz w:val="24"/>
              </w:rPr>
              <w:t xml:space="preserve">Relates to the overall amount of money expended on electronic gaming machines, </w:t>
            </w:r>
            <w:hyperlink r:id="rId14" w:tgtFrame="_blank" w:history="1">
              <w:r w:rsidRPr="004B79A8">
                <w:rPr>
                  <w:rStyle w:val="Hyperlink"/>
                  <w:rFonts w:ascii="Arial" w:hAnsi="Arial" w:cs="Arial"/>
                  <w:sz w:val="24"/>
                </w:rPr>
                <w:t>http://www.vcglr.vic.gov.au/home/resources/data+and+research/data/</w:t>
              </w:r>
            </w:hyperlink>
          </w:p>
        </w:tc>
      </w:tr>
      <w:tr w:rsidR="00C823E6" w:rsidRPr="004B79A8" w:rsidTr="00786721">
        <w:tc>
          <w:tcPr>
            <w:tcW w:w="1262" w:type="pct"/>
            <w:tcBorders>
              <w:top w:val="single" w:sz="4" w:space="0" w:color="auto"/>
              <w:bottom w:val="single" w:sz="4" w:space="0" w:color="auto"/>
            </w:tcBorders>
          </w:tcPr>
          <w:p w:rsidR="00C823E6" w:rsidRPr="004B79A8" w:rsidRDefault="00C823E6" w:rsidP="00786721">
            <w:pPr>
              <w:tabs>
                <w:tab w:val="left" w:pos="-321"/>
                <w:tab w:val="left" w:pos="720"/>
                <w:tab w:val="left" w:pos="1440"/>
                <w:tab w:val="left" w:pos="2160"/>
                <w:tab w:val="left" w:pos="2880"/>
                <w:tab w:val="left" w:pos="3600"/>
                <w:tab w:val="left" w:pos="4320"/>
              </w:tabs>
              <w:autoSpaceDE w:val="0"/>
              <w:autoSpaceDN w:val="0"/>
              <w:adjustRightInd w:val="0"/>
              <w:jc w:val="both"/>
              <w:rPr>
                <w:rFonts w:ascii="Arial" w:hAnsi="Arial" w:cs="Arial"/>
                <w:color w:val="000000"/>
                <w:sz w:val="24"/>
                <w:lang w:val="en-AU"/>
              </w:rPr>
            </w:pPr>
            <w:r w:rsidRPr="004B79A8">
              <w:rPr>
                <w:rFonts w:ascii="Arial" w:hAnsi="Arial" w:cs="Arial"/>
                <w:b/>
                <w:sz w:val="24"/>
              </w:rPr>
              <w:t>Local Government Act 1989</w:t>
            </w:r>
          </w:p>
        </w:tc>
        <w:tc>
          <w:tcPr>
            <w:tcW w:w="3738" w:type="pct"/>
            <w:tcBorders>
              <w:top w:val="single" w:sz="4" w:space="0" w:color="auto"/>
              <w:bottom w:val="single" w:sz="4" w:space="0" w:color="auto"/>
            </w:tcBorders>
          </w:tcPr>
          <w:p w:rsidR="00C823E6" w:rsidRPr="004B79A8" w:rsidRDefault="00C823E6" w:rsidP="00786721">
            <w:pPr>
              <w:spacing w:before="0" w:after="0" w:line="276" w:lineRule="auto"/>
              <w:jc w:val="both"/>
              <w:rPr>
                <w:rFonts w:ascii="Arial" w:hAnsi="Arial" w:cs="Arial"/>
                <w:sz w:val="24"/>
              </w:rPr>
            </w:pPr>
            <w:r w:rsidRPr="004B79A8">
              <w:rPr>
                <w:rFonts w:ascii="Arial" w:hAnsi="Arial" w:cs="Arial"/>
                <w:sz w:val="24"/>
              </w:rPr>
              <w:t>Confers a role on local government to represent the needs and advocate on behalf of the local community. Local councils can represent the community be submitting a social and economic impact assessment statement to the VCGLR. However local government powers in respect to control over the operation of gaming machines within the municipality are limited by State Government legislation. Providing land use requirements are satisfied, local government is largely restricted to acting as an advocate for the community.</w:t>
            </w:r>
          </w:p>
        </w:tc>
      </w:tr>
      <w:tr w:rsidR="00C823E6" w:rsidRPr="004B79A8" w:rsidTr="00786721">
        <w:tc>
          <w:tcPr>
            <w:tcW w:w="1262" w:type="pct"/>
            <w:tcBorders>
              <w:top w:val="single" w:sz="4" w:space="0" w:color="auto"/>
              <w:bottom w:val="single" w:sz="4" w:space="0" w:color="auto"/>
            </w:tcBorders>
          </w:tcPr>
          <w:p w:rsidR="00C823E6" w:rsidRPr="00B86A47" w:rsidRDefault="00C823E6" w:rsidP="00786721">
            <w:pPr>
              <w:tabs>
                <w:tab w:val="left" w:pos="-321"/>
                <w:tab w:val="left" w:pos="720"/>
                <w:tab w:val="left" w:pos="1440"/>
                <w:tab w:val="left" w:pos="2160"/>
                <w:tab w:val="left" w:pos="2880"/>
                <w:tab w:val="left" w:pos="3600"/>
                <w:tab w:val="left" w:pos="4320"/>
              </w:tabs>
              <w:autoSpaceDE w:val="0"/>
              <w:autoSpaceDN w:val="0"/>
              <w:adjustRightInd w:val="0"/>
              <w:jc w:val="both"/>
              <w:rPr>
                <w:rFonts w:ascii="Arial" w:hAnsi="Arial" w:cs="Arial"/>
                <w:sz w:val="24"/>
                <w:lang w:val="en-AU"/>
              </w:rPr>
            </w:pPr>
            <w:r w:rsidRPr="00B86A47">
              <w:rPr>
                <w:rFonts w:ascii="Arial" w:hAnsi="Arial" w:cs="Arial"/>
                <w:b/>
                <w:sz w:val="24"/>
              </w:rPr>
              <w:t>LGWGOG</w:t>
            </w:r>
          </w:p>
        </w:tc>
        <w:tc>
          <w:tcPr>
            <w:tcW w:w="3738" w:type="pct"/>
            <w:tcBorders>
              <w:top w:val="single" w:sz="4" w:space="0" w:color="auto"/>
              <w:bottom w:val="single" w:sz="4" w:space="0" w:color="auto"/>
            </w:tcBorders>
          </w:tcPr>
          <w:p w:rsidR="00C823E6" w:rsidRPr="00B86A47" w:rsidRDefault="00C823E6" w:rsidP="00786721">
            <w:pPr>
              <w:tabs>
                <w:tab w:val="left" w:pos="-321"/>
                <w:tab w:val="left" w:pos="720"/>
                <w:tab w:val="left" w:pos="1440"/>
                <w:tab w:val="left" w:pos="2160"/>
                <w:tab w:val="left" w:pos="2880"/>
                <w:tab w:val="left" w:pos="3600"/>
                <w:tab w:val="left" w:pos="4320"/>
              </w:tabs>
              <w:autoSpaceDE w:val="0"/>
              <w:autoSpaceDN w:val="0"/>
              <w:adjustRightInd w:val="0"/>
              <w:jc w:val="both"/>
              <w:rPr>
                <w:rFonts w:ascii="Arial" w:hAnsi="Arial" w:cs="Arial"/>
                <w:b/>
                <w:sz w:val="24"/>
                <w:lang w:val="en-AU"/>
              </w:rPr>
            </w:pPr>
            <w:r w:rsidRPr="00B86A47">
              <w:rPr>
                <w:rFonts w:ascii="Arial" w:hAnsi="Arial" w:cs="Arial"/>
                <w:sz w:val="24"/>
              </w:rPr>
              <w:t xml:space="preserve">Local government working group on </w:t>
            </w:r>
            <w:r>
              <w:rPr>
                <w:rFonts w:ascii="Arial" w:hAnsi="Arial" w:cs="Arial"/>
                <w:sz w:val="24"/>
              </w:rPr>
              <w:t>Gambling</w:t>
            </w:r>
          </w:p>
        </w:tc>
      </w:tr>
      <w:tr w:rsidR="00C823E6" w:rsidRPr="004B79A8" w:rsidTr="00786721">
        <w:tc>
          <w:tcPr>
            <w:tcW w:w="1262" w:type="pct"/>
            <w:tcBorders>
              <w:top w:val="single" w:sz="4" w:space="0" w:color="auto"/>
              <w:bottom w:val="single" w:sz="4" w:space="0" w:color="auto"/>
            </w:tcBorders>
          </w:tcPr>
          <w:p w:rsidR="00C823E6" w:rsidRPr="004B79A8" w:rsidRDefault="00C823E6" w:rsidP="00786721">
            <w:pPr>
              <w:tabs>
                <w:tab w:val="left" w:pos="-321"/>
                <w:tab w:val="left" w:pos="720"/>
                <w:tab w:val="left" w:pos="1440"/>
                <w:tab w:val="left" w:pos="2160"/>
                <w:tab w:val="left" w:pos="2880"/>
                <w:tab w:val="left" w:pos="3600"/>
                <w:tab w:val="left" w:pos="4320"/>
              </w:tabs>
              <w:autoSpaceDE w:val="0"/>
              <w:autoSpaceDN w:val="0"/>
              <w:adjustRightInd w:val="0"/>
              <w:jc w:val="both"/>
              <w:rPr>
                <w:rFonts w:ascii="Arial" w:hAnsi="Arial" w:cs="Arial"/>
                <w:color w:val="000000"/>
                <w:sz w:val="24"/>
                <w:lang w:val="en-AU"/>
              </w:rPr>
            </w:pPr>
            <w:r w:rsidRPr="004B79A8">
              <w:rPr>
                <w:rFonts w:ascii="Arial" w:hAnsi="Arial" w:cs="Arial"/>
                <w:b/>
                <w:sz w:val="24"/>
              </w:rPr>
              <w:t>MSS</w:t>
            </w:r>
          </w:p>
        </w:tc>
        <w:tc>
          <w:tcPr>
            <w:tcW w:w="3738" w:type="pct"/>
            <w:tcBorders>
              <w:top w:val="single" w:sz="4" w:space="0" w:color="auto"/>
              <w:bottom w:val="single" w:sz="4" w:space="0" w:color="auto"/>
            </w:tcBorders>
          </w:tcPr>
          <w:p w:rsidR="00C823E6" w:rsidRPr="004B79A8" w:rsidRDefault="00C823E6" w:rsidP="00786721">
            <w:pPr>
              <w:tabs>
                <w:tab w:val="left" w:pos="-321"/>
                <w:tab w:val="left" w:pos="720"/>
                <w:tab w:val="left" w:pos="1440"/>
                <w:tab w:val="left" w:pos="2160"/>
                <w:tab w:val="left" w:pos="2880"/>
                <w:tab w:val="left" w:pos="3600"/>
                <w:tab w:val="left" w:pos="4320"/>
              </w:tabs>
              <w:autoSpaceDE w:val="0"/>
              <w:autoSpaceDN w:val="0"/>
              <w:adjustRightInd w:val="0"/>
              <w:jc w:val="both"/>
              <w:rPr>
                <w:rFonts w:ascii="Arial" w:hAnsi="Arial" w:cs="Arial"/>
                <w:b/>
                <w:color w:val="000000"/>
                <w:sz w:val="24"/>
                <w:lang w:val="en-AU"/>
              </w:rPr>
            </w:pPr>
            <w:r w:rsidRPr="004B79A8">
              <w:rPr>
                <w:rFonts w:ascii="Arial" w:hAnsi="Arial" w:cs="Arial"/>
                <w:sz w:val="24"/>
              </w:rPr>
              <w:t>Municipal Strategic Statement</w:t>
            </w:r>
          </w:p>
        </w:tc>
      </w:tr>
      <w:tr w:rsidR="00C823E6" w:rsidRPr="004B79A8" w:rsidTr="00786721">
        <w:tc>
          <w:tcPr>
            <w:tcW w:w="1262" w:type="pct"/>
            <w:tcBorders>
              <w:top w:val="single" w:sz="4" w:space="0" w:color="auto"/>
              <w:bottom w:val="single" w:sz="4" w:space="0" w:color="auto"/>
            </w:tcBorders>
          </w:tcPr>
          <w:p w:rsidR="00C823E6" w:rsidRPr="004B79A8" w:rsidRDefault="00C823E6" w:rsidP="00786721">
            <w:pPr>
              <w:tabs>
                <w:tab w:val="left" w:pos="-321"/>
                <w:tab w:val="left" w:pos="720"/>
                <w:tab w:val="left" w:pos="1440"/>
                <w:tab w:val="left" w:pos="2160"/>
                <w:tab w:val="left" w:pos="2880"/>
                <w:tab w:val="left" w:pos="3600"/>
                <w:tab w:val="left" w:pos="4320"/>
              </w:tabs>
              <w:autoSpaceDE w:val="0"/>
              <w:autoSpaceDN w:val="0"/>
              <w:adjustRightInd w:val="0"/>
              <w:jc w:val="both"/>
              <w:rPr>
                <w:rFonts w:ascii="Arial" w:hAnsi="Arial" w:cs="Arial"/>
                <w:color w:val="000000"/>
                <w:sz w:val="24"/>
                <w:lang w:val="en-AU"/>
              </w:rPr>
            </w:pPr>
            <w:r w:rsidRPr="004B79A8">
              <w:rPr>
                <w:rFonts w:ascii="Arial" w:hAnsi="Arial" w:cs="Arial"/>
                <w:b/>
                <w:sz w:val="24"/>
              </w:rPr>
              <w:t>MPPS</w:t>
            </w:r>
          </w:p>
        </w:tc>
        <w:tc>
          <w:tcPr>
            <w:tcW w:w="3738" w:type="pct"/>
            <w:tcBorders>
              <w:top w:val="single" w:sz="4" w:space="0" w:color="auto"/>
              <w:bottom w:val="single" w:sz="4" w:space="0" w:color="auto"/>
            </w:tcBorders>
          </w:tcPr>
          <w:p w:rsidR="00C823E6" w:rsidRPr="004B79A8" w:rsidRDefault="00A72982" w:rsidP="00786721">
            <w:pPr>
              <w:tabs>
                <w:tab w:val="left" w:pos="-321"/>
                <w:tab w:val="left" w:pos="720"/>
                <w:tab w:val="left" w:pos="1440"/>
                <w:tab w:val="left" w:pos="2160"/>
                <w:tab w:val="left" w:pos="2880"/>
                <w:tab w:val="left" w:pos="3600"/>
                <w:tab w:val="left" w:pos="4320"/>
              </w:tabs>
              <w:autoSpaceDE w:val="0"/>
              <w:autoSpaceDN w:val="0"/>
              <w:adjustRightInd w:val="0"/>
              <w:jc w:val="both"/>
              <w:rPr>
                <w:rFonts w:ascii="Arial" w:hAnsi="Arial" w:cs="Arial"/>
                <w:b/>
                <w:color w:val="000000"/>
                <w:sz w:val="24"/>
                <w:lang w:val="en-AU"/>
              </w:rPr>
            </w:pPr>
            <w:proofErr w:type="spellStart"/>
            <w:r w:rsidRPr="004B79A8">
              <w:rPr>
                <w:rFonts w:ascii="Arial" w:hAnsi="Arial" w:cs="Arial"/>
                <w:sz w:val="24"/>
              </w:rPr>
              <w:t>Maribyrnong</w:t>
            </w:r>
            <w:proofErr w:type="spellEnd"/>
            <w:r w:rsidRPr="004B79A8">
              <w:rPr>
                <w:rFonts w:ascii="Arial" w:hAnsi="Arial" w:cs="Arial"/>
                <w:sz w:val="24"/>
              </w:rPr>
              <w:t xml:space="preserve"> Planning</w:t>
            </w:r>
            <w:r w:rsidR="00C823E6" w:rsidRPr="004B79A8">
              <w:rPr>
                <w:rFonts w:ascii="Arial" w:hAnsi="Arial" w:cs="Arial"/>
                <w:sz w:val="24"/>
              </w:rPr>
              <w:t xml:space="preserve"> Scheme which is created under the Planning and Environment Act 1987 and provides the framework for the assessment of planning applications.</w:t>
            </w:r>
          </w:p>
        </w:tc>
      </w:tr>
      <w:tr w:rsidR="00C823E6" w:rsidRPr="004B79A8" w:rsidTr="00786721">
        <w:tc>
          <w:tcPr>
            <w:tcW w:w="1262" w:type="pct"/>
            <w:tcBorders>
              <w:top w:val="single" w:sz="4" w:space="0" w:color="auto"/>
              <w:bottom w:val="single" w:sz="4" w:space="0" w:color="auto"/>
            </w:tcBorders>
          </w:tcPr>
          <w:p w:rsidR="00C823E6" w:rsidRPr="004B79A8" w:rsidRDefault="00C823E6" w:rsidP="00786721">
            <w:pPr>
              <w:tabs>
                <w:tab w:val="left" w:pos="-321"/>
                <w:tab w:val="left" w:pos="720"/>
                <w:tab w:val="left" w:pos="1440"/>
                <w:tab w:val="left" w:pos="2160"/>
                <w:tab w:val="left" w:pos="2880"/>
                <w:tab w:val="left" w:pos="3600"/>
                <w:tab w:val="left" w:pos="4320"/>
              </w:tabs>
              <w:autoSpaceDE w:val="0"/>
              <w:autoSpaceDN w:val="0"/>
              <w:adjustRightInd w:val="0"/>
              <w:jc w:val="both"/>
              <w:rPr>
                <w:rFonts w:ascii="Arial" w:hAnsi="Arial" w:cs="Arial"/>
                <w:color w:val="000000"/>
                <w:sz w:val="24"/>
                <w:lang w:val="en-AU"/>
              </w:rPr>
            </w:pPr>
            <w:r w:rsidRPr="004B79A8">
              <w:rPr>
                <w:rFonts w:ascii="Arial" w:hAnsi="Arial" w:cs="Arial"/>
                <w:b/>
                <w:sz w:val="24"/>
              </w:rPr>
              <w:t>Planning &amp; Environment Act 1987</w:t>
            </w:r>
          </w:p>
        </w:tc>
        <w:tc>
          <w:tcPr>
            <w:tcW w:w="3738" w:type="pct"/>
            <w:tcBorders>
              <w:top w:val="single" w:sz="4" w:space="0" w:color="auto"/>
              <w:bottom w:val="single" w:sz="4" w:space="0" w:color="auto"/>
            </w:tcBorders>
          </w:tcPr>
          <w:p w:rsidR="00C823E6" w:rsidRPr="004B79A8" w:rsidRDefault="00C823E6" w:rsidP="00786721">
            <w:pPr>
              <w:tabs>
                <w:tab w:val="left" w:pos="-321"/>
                <w:tab w:val="left" w:pos="720"/>
                <w:tab w:val="left" w:pos="1440"/>
                <w:tab w:val="left" w:pos="2160"/>
                <w:tab w:val="left" w:pos="2880"/>
                <w:tab w:val="left" w:pos="3600"/>
                <w:tab w:val="left" w:pos="4320"/>
              </w:tabs>
              <w:autoSpaceDE w:val="0"/>
              <w:autoSpaceDN w:val="0"/>
              <w:adjustRightInd w:val="0"/>
              <w:jc w:val="both"/>
              <w:rPr>
                <w:rFonts w:ascii="Arial" w:hAnsi="Arial" w:cs="Arial"/>
                <w:b/>
                <w:color w:val="000000"/>
                <w:sz w:val="24"/>
                <w:lang w:val="en-AU"/>
              </w:rPr>
            </w:pPr>
            <w:r w:rsidRPr="004B79A8">
              <w:rPr>
                <w:rFonts w:ascii="Arial" w:hAnsi="Arial" w:cs="Arial"/>
                <w:sz w:val="24"/>
              </w:rPr>
              <w:t>Gives Councils the framework to determine a planning application for the installation and/or use of an EGM. Consideration must be given to the social &amp; economic impact of the use and development of the land and appropriateness of the location.</w:t>
            </w:r>
          </w:p>
        </w:tc>
      </w:tr>
      <w:tr w:rsidR="00C823E6" w:rsidRPr="004B79A8" w:rsidTr="00786721">
        <w:tc>
          <w:tcPr>
            <w:tcW w:w="1262" w:type="pct"/>
            <w:tcBorders>
              <w:top w:val="single" w:sz="4" w:space="0" w:color="auto"/>
              <w:bottom w:val="single" w:sz="4" w:space="0" w:color="auto"/>
            </w:tcBorders>
          </w:tcPr>
          <w:p w:rsidR="00C823E6" w:rsidRPr="004B79A8" w:rsidRDefault="00C823E6" w:rsidP="00786721">
            <w:pPr>
              <w:tabs>
                <w:tab w:val="left" w:pos="-321"/>
                <w:tab w:val="left" w:pos="720"/>
                <w:tab w:val="left" w:pos="1440"/>
                <w:tab w:val="left" w:pos="2160"/>
                <w:tab w:val="left" w:pos="2880"/>
                <w:tab w:val="left" w:pos="3600"/>
                <w:tab w:val="left" w:pos="4320"/>
              </w:tabs>
              <w:autoSpaceDE w:val="0"/>
              <w:autoSpaceDN w:val="0"/>
              <w:adjustRightInd w:val="0"/>
              <w:jc w:val="both"/>
              <w:rPr>
                <w:rFonts w:ascii="Arial" w:hAnsi="Arial" w:cs="Arial"/>
                <w:color w:val="000000"/>
                <w:sz w:val="24"/>
                <w:lang w:val="en-AU"/>
              </w:rPr>
            </w:pPr>
            <w:r w:rsidRPr="004B79A8">
              <w:rPr>
                <w:rFonts w:ascii="Arial" w:hAnsi="Arial" w:cs="Arial"/>
                <w:b/>
                <w:sz w:val="24"/>
              </w:rPr>
              <w:t>Problem gaming</w:t>
            </w:r>
          </w:p>
        </w:tc>
        <w:tc>
          <w:tcPr>
            <w:tcW w:w="3738" w:type="pct"/>
            <w:tcBorders>
              <w:top w:val="single" w:sz="4" w:space="0" w:color="auto"/>
              <w:bottom w:val="single" w:sz="4" w:space="0" w:color="auto"/>
            </w:tcBorders>
          </w:tcPr>
          <w:p w:rsidR="00C823E6" w:rsidRDefault="00C823E6" w:rsidP="00786721">
            <w:pPr>
              <w:tabs>
                <w:tab w:val="left" w:pos="-321"/>
                <w:tab w:val="left" w:pos="720"/>
                <w:tab w:val="left" w:pos="1440"/>
                <w:tab w:val="left" w:pos="2160"/>
                <w:tab w:val="left" w:pos="2880"/>
                <w:tab w:val="left" w:pos="3600"/>
                <w:tab w:val="left" w:pos="4320"/>
              </w:tabs>
              <w:autoSpaceDE w:val="0"/>
              <w:autoSpaceDN w:val="0"/>
              <w:adjustRightInd w:val="0"/>
              <w:jc w:val="both"/>
            </w:pPr>
            <w:r w:rsidRPr="004B79A8">
              <w:rPr>
                <w:rFonts w:ascii="Arial" w:hAnsi="Arial" w:cs="Arial"/>
                <w:bCs/>
                <w:iCs/>
                <w:sz w:val="24"/>
              </w:rPr>
              <w:t xml:space="preserve">Problem gambling is </w:t>
            </w:r>
            <w:proofErr w:type="spellStart"/>
            <w:r w:rsidRPr="004B79A8">
              <w:rPr>
                <w:rFonts w:ascii="Arial" w:hAnsi="Arial" w:cs="Arial"/>
                <w:bCs/>
                <w:iCs/>
                <w:sz w:val="24"/>
              </w:rPr>
              <w:t>characterised</w:t>
            </w:r>
            <w:proofErr w:type="spellEnd"/>
            <w:r w:rsidRPr="004B79A8">
              <w:rPr>
                <w:rFonts w:ascii="Arial" w:hAnsi="Arial" w:cs="Arial"/>
                <w:bCs/>
                <w:iCs/>
                <w:sz w:val="24"/>
              </w:rPr>
              <w:t xml:space="preserve"> by difficulties in limiting money and/or time spent on gambling which leads to adverse consequences for the gambler, others, or for the community. </w:t>
            </w:r>
            <w:hyperlink r:id="rId15" w:tgtFrame="_blank" w:history="1">
              <w:r w:rsidRPr="004B79A8">
                <w:rPr>
                  <w:rStyle w:val="Hyperlink"/>
                  <w:rFonts w:ascii="Arial" w:hAnsi="Arial" w:cs="Arial"/>
                  <w:sz w:val="24"/>
                </w:rPr>
                <w:t>http://www.responsiblegambling.vic.gov.au/</w:t>
              </w:r>
            </w:hyperlink>
          </w:p>
          <w:p w:rsidR="00C823E6" w:rsidRPr="004B79A8" w:rsidRDefault="00C823E6" w:rsidP="00786721">
            <w:pPr>
              <w:rPr>
                <w:rFonts w:ascii="Arial" w:hAnsi="Arial" w:cs="Arial"/>
                <w:b/>
                <w:color w:val="000000"/>
                <w:sz w:val="24"/>
                <w:lang w:val="en-AU"/>
              </w:rPr>
            </w:pPr>
            <w:r w:rsidRPr="00EB2162">
              <w:rPr>
                <w:rFonts w:ascii="Arial" w:hAnsi="Arial" w:cs="Arial"/>
                <w:bCs/>
                <w:iCs/>
                <w:sz w:val="24"/>
              </w:rPr>
              <w:t>The Productivity Commission Inquiry into Gambling report estimates problem gamblers account for between 22-60 per cent (with an average of 41 per cent) of total expenditure from EGMs in Australia. Moderate risk gamblers are estimated to account for an additional 20 per cent of EGM expenditure.</w:t>
            </w:r>
          </w:p>
        </w:tc>
      </w:tr>
      <w:tr w:rsidR="00C823E6" w:rsidRPr="004B79A8" w:rsidTr="00786721">
        <w:tc>
          <w:tcPr>
            <w:tcW w:w="1262" w:type="pct"/>
            <w:tcBorders>
              <w:top w:val="single" w:sz="4" w:space="0" w:color="auto"/>
              <w:bottom w:val="single" w:sz="4" w:space="0" w:color="auto"/>
            </w:tcBorders>
          </w:tcPr>
          <w:p w:rsidR="00C823E6" w:rsidRPr="004B79A8" w:rsidRDefault="00C823E6" w:rsidP="00786721">
            <w:pPr>
              <w:tabs>
                <w:tab w:val="left" w:pos="-321"/>
                <w:tab w:val="left" w:pos="720"/>
                <w:tab w:val="left" w:pos="1440"/>
                <w:tab w:val="left" w:pos="2160"/>
                <w:tab w:val="left" w:pos="2880"/>
                <w:tab w:val="left" w:pos="3600"/>
                <w:tab w:val="left" w:pos="4320"/>
              </w:tabs>
              <w:autoSpaceDE w:val="0"/>
              <w:autoSpaceDN w:val="0"/>
              <w:adjustRightInd w:val="0"/>
              <w:jc w:val="both"/>
              <w:rPr>
                <w:rFonts w:ascii="Arial" w:hAnsi="Arial" w:cs="Arial"/>
                <w:color w:val="000000"/>
                <w:sz w:val="24"/>
                <w:lang w:val="en-AU"/>
              </w:rPr>
            </w:pPr>
            <w:r w:rsidRPr="004B79A8">
              <w:rPr>
                <w:rFonts w:ascii="Arial" w:hAnsi="Arial" w:cs="Arial"/>
                <w:b/>
                <w:sz w:val="24"/>
              </w:rPr>
              <w:t>Regional caps</w:t>
            </w:r>
          </w:p>
        </w:tc>
        <w:tc>
          <w:tcPr>
            <w:tcW w:w="3738" w:type="pct"/>
            <w:tcBorders>
              <w:top w:val="single" w:sz="4" w:space="0" w:color="auto"/>
              <w:bottom w:val="single" w:sz="4" w:space="0" w:color="auto"/>
            </w:tcBorders>
          </w:tcPr>
          <w:p w:rsidR="00C823E6" w:rsidRPr="004B79A8" w:rsidRDefault="00C823E6" w:rsidP="00786721">
            <w:pPr>
              <w:tabs>
                <w:tab w:val="left" w:pos="-321"/>
                <w:tab w:val="left" w:pos="720"/>
                <w:tab w:val="left" w:pos="1440"/>
                <w:tab w:val="left" w:pos="2160"/>
                <w:tab w:val="left" w:pos="2880"/>
                <w:tab w:val="left" w:pos="3600"/>
                <w:tab w:val="left" w:pos="4320"/>
              </w:tabs>
              <w:autoSpaceDE w:val="0"/>
              <w:autoSpaceDN w:val="0"/>
              <w:adjustRightInd w:val="0"/>
              <w:jc w:val="both"/>
              <w:rPr>
                <w:rFonts w:ascii="Arial" w:hAnsi="Arial" w:cs="Arial"/>
                <w:b/>
                <w:color w:val="000000"/>
                <w:sz w:val="24"/>
                <w:lang w:val="en-AU"/>
              </w:rPr>
            </w:pPr>
            <w:r w:rsidRPr="004B79A8">
              <w:rPr>
                <w:rFonts w:ascii="Arial" w:hAnsi="Arial" w:cs="Arial"/>
                <w:color w:val="221E1F"/>
                <w:sz w:val="24"/>
              </w:rPr>
              <w:t>Determination by the Victorian Commission for Gambling and Liquor Regulation of the Maximum Permissible Number of Gaming Machine Entitlements under which gaming may be conducted in Capped Regions</w:t>
            </w:r>
            <w:r w:rsidRPr="004B79A8">
              <w:rPr>
                <w:rStyle w:val="FootnoteReference"/>
                <w:rFonts w:ascii="Arial" w:hAnsi="Arial" w:cs="Arial"/>
                <w:color w:val="221E1F"/>
                <w:sz w:val="24"/>
              </w:rPr>
              <w:footnoteReference w:id="4"/>
            </w:r>
            <w:r w:rsidRPr="004B79A8">
              <w:rPr>
                <w:rFonts w:ascii="Arial" w:hAnsi="Arial" w:cs="Arial"/>
                <w:color w:val="221E1F"/>
                <w:sz w:val="24"/>
              </w:rPr>
              <w:t xml:space="preserve"> or</w:t>
            </w:r>
            <w:r w:rsidRPr="004B79A8">
              <w:rPr>
                <w:rFonts w:ascii="Arial" w:hAnsi="Arial" w:cs="Arial"/>
                <w:sz w:val="24"/>
              </w:rPr>
              <w:t xml:space="preserve"> the maximum permissible number of </w:t>
            </w:r>
            <w:hyperlink r:id="rId16" w:tgtFrame="_blank" w:history="1">
              <w:r w:rsidRPr="004B79A8">
                <w:rPr>
                  <w:rStyle w:val="Hyperlink"/>
                  <w:rFonts w:ascii="Arial" w:hAnsi="Arial" w:cs="Arial"/>
                  <w:sz w:val="24"/>
                </w:rPr>
                <w:t>gaming machine entitlements</w:t>
              </w:r>
            </w:hyperlink>
            <w:r w:rsidRPr="004B79A8">
              <w:rPr>
                <w:rFonts w:ascii="Arial" w:hAnsi="Arial" w:cs="Arial"/>
                <w:sz w:val="24"/>
              </w:rPr>
              <w:t xml:space="preserve"> under which </w:t>
            </w:r>
            <w:hyperlink r:id="rId17" w:tgtFrame="_blank" w:history="1">
              <w:r w:rsidRPr="004B79A8">
                <w:rPr>
                  <w:rStyle w:val="Hyperlink"/>
                  <w:rFonts w:ascii="Arial" w:hAnsi="Arial" w:cs="Arial"/>
                  <w:sz w:val="24"/>
                </w:rPr>
                <w:t>gaming</w:t>
              </w:r>
            </w:hyperlink>
            <w:r w:rsidRPr="004B79A8">
              <w:rPr>
                <w:rFonts w:ascii="Arial" w:hAnsi="Arial" w:cs="Arial"/>
                <w:sz w:val="24"/>
              </w:rPr>
              <w:t> may be conducted in a region of the State determined and in force under section 3.4A.5(3A)</w:t>
            </w:r>
          </w:p>
        </w:tc>
      </w:tr>
      <w:tr w:rsidR="00C823E6" w:rsidRPr="004B79A8" w:rsidTr="00786721">
        <w:tc>
          <w:tcPr>
            <w:tcW w:w="1262" w:type="pct"/>
            <w:tcBorders>
              <w:top w:val="single" w:sz="4" w:space="0" w:color="auto"/>
            </w:tcBorders>
          </w:tcPr>
          <w:p w:rsidR="00C823E6" w:rsidRPr="004B79A8" w:rsidRDefault="00C823E6" w:rsidP="00786721">
            <w:pPr>
              <w:tabs>
                <w:tab w:val="left" w:pos="-321"/>
                <w:tab w:val="left" w:pos="720"/>
                <w:tab w:val="left" w:pos="1440"/>
                <w:tab w:val="left" w:pos="2160"/>
                <w:tab w:val="left" w:pos="2880"/>
                <w:tab w:val="left" w:pos="3600"/>
                <w:tab w:val="left" w:pos="4320"/>
              </w:tabs>
              <w:autoSpaceDE w:val="0"/>
              <w:autoSpaceDN w:val="0"/>
              <w:adjustRightInd w:val="0"/>
              <w:jc w:val="both"/>
              <w:rPr>
                <w:rFonts w:ascii="Arial" w:hAnsi="Arial" w:cs="Arial"/>
                <w:color w:val="000000"/>
                <w:sz w:val="24"/>
                <w:lang w:val="en-AU"/>
              </w:rPr>
            </w:pPr>
            <w:r w:rsidRPr="004B79A8">
              <w:rPr>
                <w:rFonts w:ascii="Arial" w:hAnsi="Arial" w:cs="Arial"/>
                <w:b/>
                <w:sz w:val="24"/>
              </w:rPr>
              <w:t>VCGLR</w:t>
            </w:r>
          </w:p>
        </w:tc>
        <w:tc>
          <w:tcPr>
            <w:tcW w:w="3738" w:type="pct"/>
            <w:tcBorders>
              <w:top w:val="single" w:sz="4" w:space="0" w:color="auto"/>
            </w:tcBorders>
          </w:tcPr>
          <w:p w:rsidR="00C823E6" w:rsidRPr="004B79A8" w:rsidRDefault="00C823E6" w:rsidP="00786721">
            <w:pPr>
              <w:tabs>
                <w:tab w:val="left" w:pos="-321"/>
                <w:tab w:val="left" w:pos="720"/>
                <w:tab w:val="left" w:pos="1440"/>
                <w:tab w:val="left" w:pos="2160"/>
                <w:tab w:val="left" w:pos="2880"/>
                <w:tab w:val="left" w:pos="3600"/>
                <w:tab w:val="left" w:pos="4320"/>
              </w:tabs>
              <w:autoSpaceDE w:val="0"/>
              <w:autoSpaceDN w:val="0"/>
              <w:adjustRightInd w:val="0"/>
              <w:jc w:val="both"/>
              <w:rPr>
                <w:rFonts w:ascii="Arial" w:hAnsi="Arial" w:cs="Arial"/>
                <w:b/>
                <w:color w:val="000000"/>
                <w:sz w:val="24"/>
                <w:lang w:val="en-AU"/>
              </w:rPr>
            </w:pPr>
            <w:r w:rsidRPr="004B79A8">
              <w:rPr>
                <w:rFonts w:ascii="Arial" w:hAnsi="Arial" w:cs="Arial"/>
                <w:sz w:val="24"/>
              </w:rPr>
              <w:t>Victorian Commission on Gaming and Liquor Regulation</w:t>
            </w:r>
          </w:p>
        </w:tc>
      </w:tr>
    </w:tbl>
    <w:p w:rsidR="00C823E6" w:rsidRDefault="00C823E6" w:rsidP="00C823E6">
      <w:pPr>
        <w:spacing w:before="0" w:after="200" w:line="276" w:lineRule="auto"/>
        <w:rPr>
          <w:rStyle w:val="Emphasis"/>
        </w:rPr>
      </w:pPr>
    </w:p>
    <w:p w:rsidR="00C823E6" w:rsidRDefault="00C823E6" w:rsidP="00DC33EB">
      <w:pPr>
        <w:pStyle w:val="Pagetitle"/>
        <w:pBdr>
          <w:bottom w:val="single" w:sz="4" w:space="1" w:color="auto"/>
        </w:pBdr>
        <w:jc w:val="both"/>
        <w:rPr>
          <w:rStyle w:val="Emphasis"/>
          <w:color w:val="auto"/>
        </w:rPr>
      </w:pPr>
    </w:p>
    <w:p w:rsidR="00C823E6" w:rsidRDefault="00C823E6" w:rsidP="00DC33EB">
      <w:pPr>
        <w:pStyle w:val="Pagetitle"/>
        <w:pBdr>
          <w:bottom w:val="single" w:sz="4" w:space="1" w:color="auto"/>
        </w:pBdr>
        <w:jc w:val="both"/>
        <w:rPr>
          <w:rStyle w:val="Emphasis"/>
          <w:color w:val="auto"/>
        </w:rPr>
      </w:pPr>
      <w:bookmarkStart w:id="24" w:name="_GoBack"/>
      <w:bookmarkEnd w:id="24"/>
    </w:p>
    <w:sectPr w:rsidR="00C823E6" w:rsidSect="00312335">
      <w:footerReference w:type="default" r:id="rId18"/>
      <w:pgSz w:w="12240" w:h="15840"/>
      <w:pgMar w:top="1440" w:right="1800" w:bottom="1440" w:left="1800" w:header="1361" w:footer="73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817" w:rsidRDefault="00EF4817" w:rsidP="00EF4817">
      <w:pPr>
        <w:spacing w:before="0" w:after="0"/>
      </w:pPr>
      <w:r>
        <w:separator/>
      </w:r>
    </w:p>
  </w:endnote>
  <w:endnote w:type="continuationSeparator" w:id="0">
    <w:p w:rsidR="00EF4817" w:rsidRDefault="00EF4817" w:rsidP="00EF481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817" w:rsidRPr="00496E31" w:rsidRDefault="00EF4817">
    <w:pPr>
      <w:pStyle w:val="Footer"/>
      <w:rPr>
        <w:rFonts w:ascii="Arial" w:hAnsi="Arial" w:cs="Arial"/>
      </w:rPr>
    </w:pP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9B8" w:rsidRPr="003A69B8" w:rsidRDefault="00CF086B">
    <w:pPr>
      <w:pStyle w:val="Footer"/>
      <w:rPr>
        <w:rFonts w:ascii="Arial" w:hAnsi="Arial" w:cs="Arial"/>
      </w:rPr>
    </w:pPr>
    <w:r>
      <w:ptab w:relativeTo="margin" w:alignment="right" w:leader="none"/>
    </w:r>
    <w:r>
      <w:rPr>
        <w:rFonts w:ascii="Arial" w:hAnsi="Arial" w:cs="Arial"/>
      </w:rPr>
      <w:t xml:space="preserve">Page </w:t>
    </w:r>
    <w:r w:rsidR="00E77666">
      <w:rPr>
        <w:rFonts w:ascii="Arial" w:hAnsi="Arial" w:cs="Arial"/>
      </w:rPr>
      <w:fldChar w:fldCharType="begin"/>
    </w:r>
    <w:r>
      <w:rPr>
        <w:rFonts w:ascii="Arial" w:hAnsi="Arial" w:cs="Arial"/>
      </w:rPr>
      <w:instrText xml:space="preserve"> PAGE  \* Arabic  \* MERGEFORMAT </w:instrText>
    </w:r>
    <w:r w:rsidR="00E77666">
      <w:rPr>
        <w:rFonts w:ascii="Arial" w:hAnsi="Arial" w:cs="Arial"/>
      </w:rPr>
      <w:fldChar w:fldCharType="separate"/>
    </w:r>
    <w:r w:rsidR="00FC7DDE">
      <w:rPr>
        <w:rFonts w:ascii="Arial" w:hAnsi="Arial" w:cs="Arial"/>
        <w:noProof/>
      </w:rPr>
      <w:t>10</w:t>
    </w:r>
    <w:r w:rsidR="00E77666">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817" w:rsidRDefault="00EF4817" w:rsidP="00EF4817">
      <w:pPr>
        <w:spacing w:before="0" w:after="0"/>
      </w:pPr>
      <w:r>
        <w:separator/>
      </w:r>
    </w:p>
  </w:footnote>
  <w:footnote w:type="continuationSeparator" w:id="0">
    <w:p w:rsidR="00EF4817" w:rsidRDefault="00EF4817" w:rsidP="00EF4817">
      <w:pPr>
        <w:spacing w:before="0" w:after="0"/>
      </w:pPr>
      <w:r>
        <w:continuationSeparator/>
      </w:r>
    </w:p>
  </w:footnote>
  <w:footnote w:id="1">
    <w:p w:rsidR="00EF4817" w:rsidRPr="0060492C" w:rsidRDefault="00EF4817" w:rsidP="00EF4817">
      <w:pPr>
        <w:autoSpaceDE w:val="0"/>
        <w:autoSpaceDN w:val="0"/>
        <w:adjustRightInd w:val="0"/>
        <w:spacing w:after="0"/>
        <w:rPr>
          <w:rFonts w:cs="TimesNewRomanPSMT"/>
          <w:sz w:val="20"/>
          <w:szCs w:val="20"/>
        </w:rPr>
      </w:pPr>
      <w:r>
        <w:rPr>
          <w:rStyle w:val="FootnoteReference"/>
        </w:rPr>
        <w:footnoteRef/>
      </w:r>
      <w:r>
        <w:t xml:space="preserve"> </w:t>
      </w:r>
      <w:r w:rsidRPr="0060492C">
        <w:rPr>
          <w:rFonts w:cs="TimesNewRomanPSMT"/>
          <w:sz w:val="20"/>
          <w:szCs w:val="20"/>
        </w:rPr>
        <w:t>If a public health risk poses a serious threat, lack of full scientific certainty should not be used as a reason for postponing measures to prevent or control the public health risk.</w:t>
      </w:r>
    </w:p>
    <w:p w:rsidR="00EF4817" w:rsidRDefault="00EF4817" w:rsidP="00EF4817">
      <w:pPr>
        <w:pStyle w:val="FootnoteText"/>
      </w:pPr>
    </w:p>
  </w:footnote>
  <w:footnote w:id="2">
    <w:p w:rsidR="00D95D60" w:rsidRPr="00AC64E8" w:rsidRDefault="00D95D60" w:rsidP="00D95D60">
      <w:pPr>
        <w:pStyle w:val="FootnoteText"/>
        <w:rPr>
          <w:color w:val="808080" w:themeColor="background1" w:themeShade="80"/>
          <w:sz w:val="16"/>
          <w:szCs w:val="16"/>
          <w:lang w:val="en-AU"/>
        </w:rPr>
      </w:pPr>
      <w:r w:rsidRPr="00AC64E8">
        <w:rPr>
          <w:rStyle w:val="FootnoteReference"/>
          <w:color w:val="808080" w:themeColor="background1" w:themeShade="80"/>
          <w:sz w:val="16"/>
          <w:szCs w:val="16"/>
        </w:rPr>
        <w:footnoteRef/>
      </w:r>
      <w:r w:rsidRPr="00AC64E8">
        <w:rPr>
          <w:color w:val="808080" w:themeColor="background1" w:themeShade="80"/>
          <w:sz w:val="16"/>
          <w:szCs w:val="16"/>
        </w:rPr>
        <w:t xml:space="preserve"> </w:t>
      </w:r>
      <w:r w:rsidRPr="00AC64E8">
        <w:rPr>
          <w:color w:val="808080" w:themeColor="background1" w:themeShade="80"/>
          <w:sz w:val="16"/>
          <w:szCs w:val="16"/>
          <w:lang w:val="en-AU"/>
        </w:rPr>
        <w:t>MCC Council Plan  2013-17</w:t>
      </w:r>
      <w:r>
        <w:rPr>
          <w:color w:val="808080" w:themeColor="background1" w:themeShade="80"/>
          <w:sz w:val="16"/>
          <w:szCs w:val="16"/>
          <w:lang w:val="en-AU"/>
        </w:rPr>
        <w:t>, Wellbeing Commitment,</w:t>
      </w:r>
      <w:r w:rsidRPr="00AC64E8">
        <w:rPr>
          <w:color w:val="808080" w:themeColor="background1" w:themeShade="80"/>
          <w:sz w:val="16"/>
          <w:szCs w:val="16"/>
          <w:lang w:val="en-AU"/>
        </w:rPr>
        <w:t xml:space="preserve"> </w:t>
      </w:r>
      <w:proofErr w:type="spellStart"/>
      <w:r w:rsidRPr="00AC64E8">
        <w:rPr>
          <w:color w:val="808080" w:themeColor="background1" w:themeShade="80"/>
          <w:sz w:val="16"/>
          <w:szCs w:val="16"/>
          <w:lang w:val="en-AU"/>
        </w:rPr>
        <w:t>pg</w:t>
      </w:r>
      <w:proofErr w:type="spellEnd"/>
      <w:r w:rsidRPr="00AC64E8">
        <w:rPr>
          <w:color w:val="808080" w:themeColor="background1" w:themeShade="80"/>
          <w:sz w:val="16"/>
          <w:szCs w:val="16"/>
          <w:lang w:val="en-AU"/>
        </w:rPr>
        <w:t xml:space="preserve"> 10</w:t>
      </w:r>
    </w:p>
  </w:footnote>
  <w:footnote w:id="3">
    <w:p w:rsidR="00C823E6" w:rsidRPr="00EC6CB9" w:rsidRDefault="00C823E6" w:rsidP="00C823E6">
      <w:pPr>
        <w:spacing w:line="276" w:lineRule="auto"/>
        <w:ind w:left="360"/>
        <w:jc w:val="both"/>
        <w:rPr>
          <w:rFonts w:ascii="Arial" w:hAnsi="Arial" w:cs="Arial"/>
          <w:szCs w:val="22"/>
        </w:rPr>
      </w:pPr>
      <w:r>
        <w:rPr>
          <w:rStyle w:val="FootnoteReference"/>
        </w:rPr>
        <w:footnoteRef/>
      </w:r>
      <w:r>
        <w:t xml:space="preserve"> </w:t>
      </w:r>
      <w:hyperlink r:id="rId1" w:history="1">
        <w:r w:rsidRPr="00EC6CB9">
          <w:rPr>
            <w:rStyle w:val="Hyperlink"/>
            <w:rFonts w:ascii="Arial" w:hAnsi="Arial" w:cs="Arial"/>
            <w:szCs w:val="22"/>
          </w:rPr>
          <w:t>http://www.audit.act.gov.au/auditreports/reports2012/Report%201_2012%20Monitoring%20and%20minimising%20harm%20caused%20by%20problem%20gambling%20in%20the%20ACT.pdf</w:t>
        </w:r>
      </w:hyperlink>
    </w:p>
    <w:p w:rsidR="00C823E6" w:rsidRDefault="00C823E6" w:rsidP="00C823E6">
      <w:pPr>
        <w:pStyle w:val="FootnoteText"/>
      </w:pPr>
    </w:p>
  </w:footnote>
  <w:footnote w:id="4">
    <w:p w:rsidR="00C823E6" w:rsidRPr="00982122" w:rsidRDefault="00C823E6" w:rsidP="00C823E6">
      <w:pPr>
        <w:pStyle w:val="FootnoteText"/>
        <w:rPr>
          <w:rFonts w:ascii="Calibri" w:hAnsi="Calibri"/>
          <w:sz w:val="16"/>
          <w:szCs w:val="16"/>
          <w:lang w:val="en-AU"/>
        </w:rPr>
      </w:pPr>
      <w:r w:rsidRPr="007A3B95">
        <w:rPr>
          <w:rStyle w:val="FootnoteReference"/>
          <w:rFonts w:ascii="Calibri" w:hAnsi="Calibri"/>
          <w:color w:val="808080"/>
          <w:sz w:val="16"/>
          <w:szCs w:val="16"/>
        </w:rPr>
        <w:footnoteRef/>
      </w:r>
      <w:r w:rsidRPr="007A3B95">
        <w:rPr>
          <w:rFonts w:ascii="Calibri" w:hAnsi="Calibri"/>
          <w:color w:val="808080"/>
          <w:sz w:val="16"/>
          <w:szCs w:val="16"/>
        </w:rPr>
        <w:t xml:space="preserve"> http://assets.justice.vic.gov.au/vcglr/resources/1496ff64-1a85-4d3a-97be-87552a7ad848/ministerial_direction_regional_caps_2012.pdf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817" w:rsidRDefault="00C535C1" w:rsidP="00312335">
    <w:pPr>
      <w:pStyle w:val="Header"/>
      <w:jc w:val="right"/>
    </w:pPr>
    <w:r>
      <w:rPr>
        <w:noProof/>
        <w:lang w:val="en-AU" w:eastAsia="en-AU"/>
      </w:rPr>
      <mc:AlternateContent>
        <mc:Choice Requires="wps">
          <w:drawing>
            <wp:anchor distT="0" distB="0" distL="114300" distR="114300" simplePos="0" relativeHeight="251660288" behindDoc="0" locked="0" layoutInCell="1" allowOverlap="1">
              <wp:simplePos x="0" y="0"/>
              <wp:positionH relativeFrom="column">
                <wp:posOffset>4606925</wp:posOffset>
              </wp:positionH>
              <wp:positionV relativeFrom="paragraph">
                <wp:posOffset>-633095</wp:posOffset>
              </wp:positionV>
              <wp:extent cx="1746250" cy="72644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72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4817" w:rsidRDefault="00EF4817" w:rsidP="00312335">
                          <w:pPr>
                            <w:jc w:val="right"/>
                          </w:pPr>
                          <w:r>
                            <w:rPr>
                              <w:noProof/>
                              <w:lang w:val="en-AU" w:eastAsia="en-AU"/>
                            </w:rPr>
                            <w:drawing>
                              <wp:inline distT="0" distB="0" distL="0" distR="0">
                                <wp:extent cx="1546225" cy="511521"/>
                                <wp:effectExtent l="0" t="0" r="0" b="0"/>
                                <wp:docPr id="3" name="Picture 1" descr="MCC Logo_H_5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 Logo_H_5x2.jpg"/>
                                        <pic:cNvPicPr/>
                                      </pic:nvPicPr>
                                      <pic:blipFill>
                                        <a:blip r:embed="rId1"/>
                                        <a:stretch>
                                          <a:fillRect/>
                                        </a:stretch>
                                      </pic:blipFill>
                                      <pic:spPr>
                                        <a:xfrm>
                                          <a:off x="0" y="0"/>
                                          <a:ext cx="1546225" cy="511521"/>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2.75pt;margin-top:-49.85pt;width:137.5pt;height:57.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" stroked="f">
              <v:textbox style="mso-fit-shape-to-text:t">
                <w:txbxContent>
                  <w:p w:rsidR="00EF4817" w:rsidRDefault="00EF4817" w:rsidP="00312335">
                    <w:pPr>
                      <w:jc w:val="right"/>
                    </w:pPr>
                    <w:r>
                      <w:rPr>
                        <w:noProof/>
                        <w:lang w:val="en-AU" w:eastAsia="en-AU"/>
                      </w:rPr>
                      <w:drawing>
                        <wp:inline distT="0" distB="0" distL="0" distR="0">
                          <wp:extent cx="1546225" cy="511521"/>
                          <wp:effectExtent l="0" t="0" r="0" b="0"/>
                          <wp:docPr id="3" name="Picture 1" descr="MCC Logo_H_5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 Logo_H_5x2.jpg"/>
                                  <pic:cNvPicPr/>
                                </pic:nvPicPr>
                                <pic:blipFill>
                                  <a:blip r:embed="rId2"/>
                                  <a:stretch>
                                    <a:fillRect/>
                                  </a:stretch>
                                </pic:blipFill>
                                <pic:spPr>
                                  <a:xfrm>
                                    <a:off x="0" y="0"/>
                                    <a:ext cx="1546225" cy="511521"/>
                                  </a:xfrm>
                                  <a:prstGeom prst="rect">
                                    <a:avLst/>
                                  </a:prstGeom>
                                </pic:spPr>
                              </pic:pic>
                            </a:graphicData>
                          </a:graphic>
                        </wp:inline>
                      </w:drawing>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817" w:rsidRPr="004B1A3E" w:rsidRDefault="00EF4817" w:rsidP="004B1A3E">
    <w:pPr>
      <w:pStyle w:val="Header"/>
      <w:jc w:val="right"/>
      <w:rPr>
        <w:rFonts w:ascii="Arial" w:hAnsi="Arial" w:cs="Arial"/>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02F3"/>
    <w:multiLevelType w:val="hybridMultilevel"/>
    <w:tmpl w:val="2D0A40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2409"/>
    <w:multiLevelType w:val="hybridMultilevel"/>
    <w:tmpl w:val="218C38CA"/>
    <w:lvl w:ilvl="0" w:tplc="F8B858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902F5"/>
    <w:multiLevelType w:val="hybridMultilevel"/>
    <w:tmpl w:val="666CD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A97492"/>
    <w:multiLevelType w:val="hybridMultilevel"/>
    <w:tmpl w:val="CE1466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8218F"/>
    <w:multiLevelType w:val="hybridMultilevel"/>
    <w:tmpl w:val="AFB2CCCC"/>
    <w:lvl w:ilvl="0" w:tplc="3AB456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932D9"/>
    <w:multiLevelType w:val="hybridMultilevel"/>
    <w:tmpl w:val="186ADB68"/>
    <w:lvl w:ilvl="0" w:tplc="0C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E722BC"/>
    <w:multiLevelType w:val="hybridMultilevel"/>
    <w:tmpl w:val="EDB4D5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4AE41F7"/>
    <w:multiLevelType w:val="hybridMultilevel"/>
    <w:tmpl w:val="AF528A26"/>
    <w:lvl w:ilvl="0" w:tplc="6AF4B46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A33C4A"/>
    <w:multiLevelType w:val="hybridMultilevel"/>
    <w:tmpl w:val="605E8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9F5ED6"/>
    <w:multiLevelType w:val="hybridMultilevel"/>
    <w:tmpl w:val="E698FD5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BE5708"/>
    <w:multiLevelType w:val="hybridMultilevel"/>
    <w:tmpl w:val="166C6B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C7A2F65"/>
    <w:multiLevelType w:val="hybridMultilevel"/>
    <w:tmpl w:val="01D23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A0494D"/>
    <w:multiLevelType w:val="hybridMultilevel"/>
    <w:tmpl w:val="9BD4B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047A39"/>
    <w:multiLevelType w:val="hybridMultilevel"/>
    <w:tmpl w:val="55EE2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F2B0D"/>
    <w:multiLevelType w:val="hybridMultilevel"/>
    <w:tmpl w:val="A4E678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D571569"/>
    <w:multiLevelType w:val="hybridMultilevel"/>
    <w:tmpl w:val="243C940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60944797"/>
    <w:multiLevelType w:val="hybridMultilevel"/>
    <w:tmpl w:val="65364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AE539B"/>
    <w:multiLevelType w:val="hybridMultilevel"/>
    <w:tmpl w:val="5E821A44"/>
    <w:lvl w:ilvl="0" w:tplc="192287E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CBA7611"/>
    <w:multiLevelType w:val="hybridMultilevel"/>
    <w:tmpl w:val="5B10F28C"/>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71993CAB"/>
    <w:multiLevelType w:val="hybridMultilevel"/>
    <w:tmpl w:val="50147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4BD4C94"/>
    <w:multiLevelType w:val="hybridMultilevel"/>
    <w:tmpl w:val="E00E3E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CD1BAA"/>
    <w:multiLevelType w:val="hybridMultilevel"/>
    <w:tmpl w:val="25F81DA4"/>
    <w:lvl w:ilvl="0" w:tplc="89947EDC">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7A9B564F"/>
    <w:multiLevelType w:val="hybridMultilevel"/>
    <w:tmpl w:val="1E364534"/>
    <w:lvl w:ilvl="0" w:tplc="06761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0C5006"/>
    <w:multiLevelType w:val="hybridMultilevel"/>
    <w:tmpl w:val="849E16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F452D6"/>
    <w:multiLevelType w:val="hybridMultilevel"/>
    <w:tmpl w:val="575857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2"/>
  </w:num>
  <w:num w:numId="3">
    <w:abstractNumId w:val="19"/>
  </w:num>
  <w:num w:numId="4">
    <w:abstractNumId w:val="20"/>
  </w:num>
  <w:num w:numId="5">
    <w:abstractNumId w:val="24"/>
  </w:num>
  <w:num w:numId="6">
    <w:abstractNumId w:val="8"/>
  </w:num>
  <w:num w:numId="7">
    <w:abstractNumId w:val="11"/>
  </w:num>
  <w:num w:numId="8">
    <w:abstractNumId w:val="23"/>
  </w:num>
  <w:num w:numId="9">
    <w:abstractNumId w:val="16"/>
  </w:num>
  <w:num w:numId="10">
    <w:abstractNumId w:val="9"/>
  </w:num>
  <w:num w:numId="11">
    <w:abstractNumId w:val="22"/>
  </w:num>
  <w:num w:numId="12">
    <w:abstractNumId w:val="3"/>
  </w:num>
  <w:num w:numId="13">
    <w:abstractNumId w:val="5"/>
  </w:num>
  <w:num w:numId="14">
    <w:abstractNumId w:val="7"/>
  </w:num>
  <w:num w:numId="15">
    <w:abstractNumId w:val="4"/>
  </w:num>
  <w:num w:numId="16">
    <w:abstractNumId w:val="1"/>
  </w:num>
  <w:num w:numId="17">
    <w:abstractNumId w:val="13"/>
  </w:num>
  <w:num w:numId="18">
    <w:abstractNumId w:val="0"/>
  </w:num>
  <w:num w:numId="19">
    <w:abstractNumId w:val="17"/>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817"/>
    <w:rsid w:val="00002C23"/>
    <w:rsid w:val="00017401"/>
    <w:rsid w:val="000211FA"/>
    <w:rsid w:val="0002427C"/>
    <w:rsid w:val="00060B08"/>
    <w:rsid w:val="0006283F"/>
    <w:rsid w:val="00081A2A"/>
    <w:rsid w:val="000A59E7"/>
    <w:rsid w:val="000D2BE5"/>
    <w:rsid w:val="000D3A08"/>
    <w:rsid w:val="000D519F"/>
    <w:rsid w:val="000F5E2A"/>
    <w:rsid w:val="000F6031"/>
    <w:rsid w:val="00100AC8"/>
    <w:rsid w:val="00106BBC"/>
    <w:rsid w:val="001133C5"/>
    <w:rsid w:val="0012707D"/>
    <w:rsid w:val="00144891"/>
    <w:rsid w:val="001470D6"/>
    <w:rsid w:val="0016570A"/>
    <w:rsid w:val="0016797B"/>
    <w:rsid w:val="00177C78"/>
    <w:rsid w:val="001A626A"/>
    <w:rsid w:val="001C0AC9"/>
    <w:rsid w:val="001D0B53"/>
    <w:rsid w:val="001D7A5A"/>
    <w:rsid w:val="001E4106"/>
    <w:rsid w:val="001F13ED"/>
    <w:rsid w:val="00202873"/>
    <w:rsid w:val="0021284F"/>
    <w:rsid w:val="0027124A"/>
    <w:rsid w:val="0027783B"/>
    <w:rsid w:val="0029087D"/>
    <w:rsid w:val="00292DC5"/>
    <w:rsid w:val="0029436F"/>
    <w:rsid w:val="002A0C48"/>
    <w:rsid w:val="002A19B3"/>
    <w:rsid w:val="002A2CCD"/>
    <w:rsid w:val="002A723F"/>
    <w:rsid w:val="002B5359"/>
    <w:rsid w:val="002C5379"/>
    <w:rsid w:val="002E1FB6"/>
    <w:rsid w:val="002E7C53"/>
    <w:rsid w:val="003038A5"/>
    <w:rsid w:val="00364955"/>
    <w:rsid w:val="0036526E"/>
    <w:rsid w:val="00385DAF"/>
    <w:rsid w:val="00394886"/>
    <w:rsid w:val="00397C42"/>
    <w:rsid w:val="003A2524"/>
    <w:rsid w:val="003A2B5F"/>
    <w:rsid w:val="003A758F"/>
    <w:rsid w:val="003B4D4F"/>
    <w:rsid w:val="003D4474"/>
    <w:rsid w:val="003E02AC"/>
    <w:rsid w:val="003E3CF9"/>
    <w:rsid w:val="003E7F30"/>
    <w:rsid w:val="004147E2"/>
    <w:rsid w:val="00417646"/>
    <w:rsid w:val="00424A90"/>
    <w:rsid w:val="00484519"/>
    <w:rsid w:val="004A0CE9"/>
    <w:rsid w:val="004A424B"/>
    <w:rsid w:val="004C7895"/>
    <w:rsid w:val="004F68D3"/>
    <w:rsid w:val="00501C81"/>
    <w:rsid w:val="00510525"/>
    <w:rsid w:val="00523C6F"/>
    <w:rsid w:val="005272CE"/>
    <w:rsid w:val="0055293B"/>
    <w:rsid w:val="0056387E"/>
    <w:rsid w:val="005A05FB"/>
    <w:rsid w:val="005A06A1"/>
    <w:rsid w:val="005B5731"/>
    <w:rsid w:val="005C0408"/>
    <w:rsid w:val="005C6990"/>
    <w:rsid w:val="005F2C53"/>
    <w:rsid w:val="005F7008"/>
    <w:rsid w:val="005F7465"/>
    <w:rsid w:val="00606ED6"/>
    <w:rsid w:val="0061157F"/>
    <w:rsid w:val="00643D01"/>
    <w:rsid w:val="006560E2"/>
    <w:rsid w:val="006637D3"/>
    <w:rsid w:val="00664804"/>
    <w:rsid w:val="00671952"/>
    <w:rsid w:val="00685396"/>
    <w:rsid w:val="006971EE"/>
    <w:rsid w:val="006B3CAA"/>
    <w:rsid w:val="006B58D2"/>
    <w:rsid w:val="006F200C"/>
    <w:rsid w:val="006F31D5"/>
    <w:rsid w:val="006F5B84"/>
    <w:rsid w:val="007058C4"/>
    <w:rsid w:val="00717164"/>
    <w:rsid w:val="00720559"/>
    <w:rsid w:val="00725745"/>
    <w:rsid w:val="00732160"/>
    <w:rsid w:val="00740E48"/>
    <w:rsid w:val="00757D2F"/>
    <w:rsid w:val="00762271"/>
    <w:rsid w:val="0077593E"/>
    <w:rsid w:val="00784160"/>
    <w:rsid w:val="0078694D"/>
    <w:rsid w:val="007939CA"/>
    <w:rsid w:val="00797D11"/>
    <w:rsid w:val="007A0E21"/>
    <w:rsid w:val="007A169A"/>
    <w:rsid w:val="007E4382"/>
    <w:rsid w:val="007F1FD5"/>
    <w:rsid w:val="007F466E"/>
    <w:rsid w:val="00825AEE"/>
    <w:rsid w:val="00843F8B"/>
    <w:rsid w:val="00865B3A"/>
    <w:rsid w:val="00895E3C"/>
    <w:rsid w:val="008A3235"/>
    <w:rsid w:val="008A4EF3"/>
    <w:rsid w:val="008B2136"/>
    <w:rsid w:val="008B2725"/>
    <w:rsid w:val="008E0E28"/>
    <w:rsid w:val="00924D9E"/>
    <w:rsid w:val="00942AEB"/>
    <w:rsid w:val="009519DD"/>
    <w:rsid w:val="00982440"/>
    <w:rsid w:val="00987C37"/>
    <w:rsid w:val="00991CE7"/>
    <w:rsid w:val="00994590"/>
    <w:rsid w:val="009B01EE"/>
    <w:rsid w:val="009B3E40"/>
    <w:rsid w:val="009C0501"/>
    <w:rsid w:val="009C7AD2"/>
    <w:rsid w:val="009D0788"/>
    <w:rsid w:val="009D3056"/>
    <w:rsid w:val="009E6D5F"/>
    <w:rsid w:val="00A23EDF"/>
    <w:rsid w:val="00A340C0"/>
    <w:rsid w:val="00A37771"/>
    <w:rsid w:val="00A71102"/>
    <w:rsid w:val="00A72982"/>
    <w:rsid w:val="00A935F5"/>
    <w:rsid w:val="00AA07A8"/>
    <w:rsid w:val="00AA1D4E"/>
    <w:rsid w:val="00AC6957"/>
    <w:rsid w:val="00AD1200"/>
    <w:rsid w:val="00AD782F"/>
    <w:rsid w:val="00AE291B"/>
    <w:rsid w:val="00AE6C81"/>
    <w:rsid w:val="00AF690B"/>
    <w:rsid w:val="00B21016"/>
    <w:rsid w:val="00B40011"/>
    <w:rsid w:val="00B54247"/>
    <w:rsid w:val="00B84ACE"/>
    <w:rsid w:val="00B86439"/>
    <w:rsid w:val="00B86A47"/>
    <w:rsid w:val="00B95A15"/>
    <w:rsid w:val="00BA674A"/>
    <w:rsid w:val="00BF089C"/>
    <w:rsid w:val="00BF2849"/>
    <w:rsid w:val="00BF3609"/>
    <w:rsid w:val="00C00354"/>
    <w:rsid w:val="00C1271A"/>
    <w:rsid w:val="00C2140B"/>
    <w:rsid w:val="00C302F6"/>
    <w:rsid w:val="00C37111"/>
    <w:rsid w:val="00C47C44"/>
    <w:rsid w:val="00C535C1"/>
    <w:rsid w:val="00C56E58"/>
    <w:rsid w:val="00C731CC"/>
    <w:rsid w:val="00C807E2"/>
    <w:rsid w:val="00C81DCC"/>
    <w:rsid w:val="00C823E6"/>
    <w:rsid w:val="00CB42E8"/>
    <w:rsid w:val="00CC2326"/>
    <w:rsid w:val="00CD10C1"/>
    <w:rsid w:val="00CD66C5"/>
    <w:rsid w:val="00CE754C"/>
    <w:rsid w:val="00CF04CA"/>
    <w:rsid w:val="00CF086B"/>
    <w:rsid w:val="00CF36E6"/>
    <w:rsid w:val="00D10EDC"/>
    <w:rsid w:val="00D14115"/>
    <w:rsid w:val="00D144D3"/>
    <w:rsid w:val="00D25DEC"/>
    <w:rsid w:val="00D328D9"/>
    <w:rsid w:val="00D36827"/>
    <w:rsid w:val="00D5544D"/>
    <w:rsid w:val="00D60F5F"/>
    <w:rsid w:val="00D655A3"/>
    <w:rsid w:val="00D72998"/>
    <w:rsid w:val="00D8513E"/>
    <w:rsid w:val="00D8532D"/>
    <w:rsid w:val="00D855EE"/>
    <w:rsid w:val="00D904F9"/>
    <w:rsid w:val="00D95D60"/>
    <w:rsid w:val="00DA1433"/>
    <w:rsid w:val="00DC33EB"/>
    <w:rsid w:val="00DD3C26"/>
    <w:rsid w:val="00DD708C"/>
    <w:rsid w:val="00DF5C78"/>
    <w:rsid w:val="00E0081C"/>
    <w:rsid w:val="00E22A57"/>
    <w:rsid w:val="00E50BBE"/>
    <w:rsid w:val="00E76085"/>
    <w:rsid w:val="00E775C3"/>
    <w:rsid w:val="00E77666"/>
    <w:rsid w:val="00E93762"/>
    <w:rsid w:val="00E93F03"/>
    <w:rsid w:val="00E93F38"/>
    <w:rsid w:val="00EB2162"/>
    <w:rsid w:val="00EB5BAF"/>
    <w:rsid w:val="00EC69D4"/>
    <w:rsid w:val="00EE2EE3"/>
    <w:rsid w:val="00EF35B9"/>
    <w:rsid w:val="00EF3D35"/>
    <w:rsid w:val="00EF4817"/>
    <w:rsid w:val="00EF5669"/>
    <w:rsid w:val="00EF641E"/>
    <w:rsid w:val="00F01040"/>
    <w:rsid w:val="00F20B9E"/>
    <w:rsid w:val="00F25428"/>
    <w:rsid w:val="00F35664"/>
    <w:rsid w:val="00F36CD2"/>
    <w:rsid w:val="00F42077"/>
    <w:rsid w:val="00F60844"/>
    <w:rsid w:val="00F716C6"/>
    <w:rsid w:val="00F77C6A"/>
    <w:rsid w:val="00FA0069"/>
    <w:rsid w:val="00FA7CCA"/>
    <w:rsid w:val="00FB39E5"/>
    <w:rsid w:val="00FB47A3"/>
    <w:rsid w:val="00FC66F3"/>
    <w:rsid w:val="00FC7DDE"/>
    <w:rsid w:val="00FD129E"/>
    <w:rsid w:val="00FE0F7B"/>
    <w:rsid w:val="00FE55E8"/>
    <w:rsid w:val="00FF1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B8D9312-2053-413F-AFD0-99066C92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817"/>
    <w:pPr>
      <w:spacing w:before="60" w:after="120" w:line="240" w:lineRule="auto"/>
    </w:pPr>
    <w:rPr>
      <w:rFonts w:ascii="Calibri" w:eastAsia="MS Mincho" w:hAnsi="Calibri" w:cs="Times New Roman"/>
      <w:szCs w:val="24"/>
    </w:rPr>
  </w:style>
  <w:style w:type="paragraph" w:styleId="Heading1">
    <w:name w:val="heading 1"/>
    <w:basedOn w:val="Normal"/>
    <w:next w:val="Normal"/>
    <w:link w:val="Heading1Char"/>
    <w:uiPriority w:val="9"/>
    <w:qFormat/>
    <w:rsid w:val="00EF48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4817"/>
    <w:pPr>
      <w:tabs>
        <w:tab w:val="center" w:pos="4320"/>
        <w:tab w:val="right" w:pos="8640"/>
      </w:tabs>
    </w:pPr>
  </w:style>
  <w:style w:type="character" w:customStyle="1" w:styleId="HeaderChar">
    <w:name w:val="Header Char"/>
    <w:basedOn w:val="DefaultParagraphFont"/>
    <w:link w:val="Header"/>
    <w:uiPriority w:val="99"/>
    <w:rsid w:val="00EF4817"/>
    <w:rPr>
      <w:rFonts w:ascii="Calibri" w:eastAsia="MS Mincho" w:hAnsi="Calibri" w:cs="Times New Roman"/>
      <w:szCs w:val="24"/>
    </w:rPr>
  </w:style>
  <w:style w:type="paragraph" w:styleId="PlainText">
    <w:name w:val="Plain Text"/>
    <w:basedOn w:val="Normal"/>
    <w:link w:val="PlainTextChar"/>
    <w:rsid w:val="00EF4817"/>
    <w:pPr>
      <w:spacing w:before="40" w:after="40"/>
      <w:contextualSpacing/>
    </w:pPr>
    <w:rPr>
      <w:rFonts w:ascii="Book Antiqua" w:eastAsia="Times New Roman" w:hAnsi="Book Antiqua"/>
      <w:szCs w:val="20"/>
      <w:lang w:val="en-AU"/>
    </w:rPr>
  </w:style>
  <w:style w:type="character" w:customStyle="1" w:styleId="PlainTextChar">
    <w:name w:val="Plain Text Char"/>
    <w:basedOn w:val="DefaultParagraphFont"/>
    <w:link w:val="PlainText"/>
    <w:rsid w:val="00EF4817"/>
    <w:rPr>
      <w:rFonts w:ascii="Book Antiqua" w:eastAsia="Times New Roman" w:hAnsi="Book Antiqua" w:cs="Times New Roman"/>
      <w:szCs w:val="20"/>
      <w:lang w:val="en-AU"/>
    </w:rPr>
  </w:style>
  <w:style w:type="paragraph" w:customStyle="1" w:styleId="Pagetitle">
    <w:name w:val="Page title"/>
    <w:basedOn w:val="Heading1"/>
    <w:rsid w:val="00EF4817"/>
    <w:pPr>
      <w:keepLines w:val="0"/>
      <w:spacing w:before="240" w:after="60" w:line="360" w:lineRule="auto"/>
    </w:pPr>
    <w:rPr>
      <w:rFonts w:ascii="Arial" w:eastAsia="Times" w:hAnsi="Arial" w:cs="Times New Roman"/>
      <w:bCs w:val="0"/>
      <w:color w:val="14003C"/>
      <w:kern w:val="32"/>
      <w:sz w:val="40"/>
      <w:szCs w:val="20"/>
      <w:lang w:val="en-AU" w:eastAsia="en-AU"/>
    </w:rPr>
  </w:style>
  <w:style w:type="paragraph" w:styleId="Title">
    <w:name w:val="Title"/>
    <w:basedOn w:val="Normal"/>
    <w:next w:val="Normal"/>
    <w:link w:val="TitleChar"/>
    <w:uiPriority w:val="10"/>
    <w:qFormat/>
    <w:rsid w:val="00EF4817"/>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4817"/>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C33EB"/>
    <w:rPr>
      <w:rFonts w:cs="Arial"/>
      <w:iCs/>
      <w:sz w:val="24"/>
      <w:szCs w:val="24"/>
    </w:rPr>
  </w:style>
  <w:style w:type="paragraph" w:styleId="TOC1">
    <w:name w:val="toc 1"/>
    <w:basedOn w:val="Normal"/>
    <w:next w:val="Normal"/>
    <w:autoRedefine/>
    <w:uiPriority w:val="39"/>
    <w:rsid w:val="00EF4817"/>
    <w:pPr>
      <w:spacing w:before="0" w:after="0" w:line="360" w:lineRule="auto"/>
    </w:pPr>
    <w:rPr>
      <w:rFonts w:ascii="Arial" w:eastAsia="Times" w:hAnsi="Arial"/>
      <w:sz w:val="20"/>
      <w:szCs w:val="20"/>
      <w:lang w:val="en-AU" w:eastAsia="en-AU"/>
    </w:rPr>
  </w:style>
  <w:style w:type="character" w:styleId="Hyperlink">
    <w:name w:val="Hyperlink"/>
    <w:basedOn w:val="DefaultParagraphFont"/>
    <w:uiPriority w:val="99"/>
    <w:unhideWhenUsed/>
    <w:rsid w:val="00EF4817"/>
    <w:rPr>
      <w:color w:val="0000FF" w:themeColor="hyperlink"/>
      <w:u w:val="single"/>
    </w:rPr>
  </w:style>
  <w:style w:type="table" w:styleId="TableGrid">
    <w:name w:val="Table Grid"/>
    <w:basedOn w:val="TableNormal"/>
    <w:uiPriority w:val="59"/>
    <w:rsid w:val="00EF4817"/>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F4817"/>
    <w:pPr>
      <w:tabs>
        <w:tab w:val="center" w:pos="4513"/>
        <w:tab w:val="right" w:pos="9026"/>
      </w:tabs>
      <w:spacing w:before="0" w:after="0"/>
    </w:pPr>
  </w:style>
  <w:style w:type="character" w:customStyle="1" w:styleId="FooterChar">
    <w:name w:val="Footer Char"/>
    <w:basedOn w:val="DefaultParagraphFont"/>
    <w:link w:val="Footer"/>
    <w:uiPriority w:val="99"/>
    <w:rsid w:val="00EF4817"/>
    <w:rPr>
      <w:rFonts w:ascii="Calibri" w:eastAsia="MS Mincho" w:hAnsi="Calibri" w:cs="Times New Roman"/>
      <w:szCs w:val="24"/>
    </w:rPr>
  </w:style>
  <w:style w:type="paragraph" w:styleId="ListParagraph">
    <w:name w:val="List Paragraph"/>
    <w:basedOn w:val="Normal"/>
    <w:uiPriority w:val="99"/>
    <w:qFormat/>
    <w:rsid w:val="00EF4817"/>
    <w:pPr>
      <w:spacing w:before="0" w:after="200" w:line="276" w:lineRule="auto"/>
      <w:ind w:left="720"/>
      <w:contextualSpacing/>
    </w:pPr>
    <w:rPr>
      <w:rFonts w:asciiTheme="minorHAnsi" w:eastAsiaTheme="minorHAnsi" w:hAnsiTheme="minorHAnsi" w:cstheme="minorBidi"/>
      <w:szCs w:val="22"/>
    </w:rPr>
  </w:style>
  <w:style w:type="paragraph" w:styleId="FootnoteText">
    <w:name w:val="footnote text"/>
    <w:basedOn w:val="Normal"/>
    <w:link w:val="FootnoteTextChar"/>
    <w:uiPriority w:val="99"/>
    <w:semiHidden/>
    <w:unhideWhenUsed/>
    <w:rsid w:val="00EF4817"/>
    <w:pPr>
      <w:spacing w:before="0"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F4817"/>
    <w:rPr>
      <w:sz w:val="20"/>
      <w:szCs w:val="20"/>
    </w:rPr>
  </w:style>
  <w:style w:type="character" w:styleId="FootnoteReference">
    <w:name w:val="footnote reference"/>
    <w:basedOn w:val="DefaultParagraphFont"/>
    <w:semiHidden/>
    <w:unhideWhenUsed/>
    <w:rsid w:val="00EF4817"/>
    <w:rPr>
      <w:vertAlign w:val="superscript"/>
    </w:rPr>
  </w:style>
  <w:style w:type="character" w:customStyle="1" w:styleId="Heading1Char">
    <w:name w:val="Heading 1 Char"/>
    <w:basedOn w:val="DefaultParagraphFont"/>
    <w:link w:val="Heading1"/>
    <w:uiPriority w:val="9"/>
    <w:rsid w:val="00EF481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F481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817"/>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87302">
      <w:bodyDiv w:val="1"/>
      <w:marLeft w:val="0"/>
      <w:marRight w:val="0"/>
      <w:marTop w:val="0"/>
      <w:marBottom w:val="0"/>
      <w:divBdr>
        <w:top w:val="none" w:sz="0" w:space="0" w:color="auto"/>
        <w:left w:val="none" w:sz="0" w:space="0" w:color="auto"/>
        <w:bottom w:val="none" w:sz="0" w:space="0" w:color="auto"/>
        <w:right w:val="none" w:sz="0" w:space="0" w:color="auto"/>
      </w:divBdr>
    </w:div>
    <w:div w:id="1204826329">
      <w:bodyDiv w:val="1"/>
      <w:marLeft w:val="0"/>
      <w:marRight w:val="0"/>
      <w:marTop w:val="0"/>
      <w:marBottom w:val="0"/>
      <w:divBdr>
        <w:top w:val="none" w:sz="0" w:space="0" w:color="auto"/>
        <w:left w:val="none" w:sz="0" w:space="0" w:color="auto"/>
        <w:bottom w:val="none" w:sz="0" w:space="0" w:color="auto"/>
        <w:right w:val="none" w:sz="0" w:space="0" w:color="auto"/>
      </w:divBdr>
    </w:div>
    <w:div w:id="127428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law.gov.au/Details/C2014C00255/545162e0-b8df-4690-8ce0-1463a047de55"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gam.info/victorian-public-health-and-wellbeing-act-2008" TargetMode="External"/><Relationship Id="rId17" Type="http://schemas.openxmlformats.org/officeDocument/2006/relationships/hyperlink" Target="https://webmail.mornpen.vic.gov.au/owa/redir.aspx?C=KBNa53b8K0WMJxCG3RKFDPkRKPsrxdEInpGgMi8Ls1Nlpaw2BciK1e-GyiWtSXxn2325f4kAvqg.&amp;URL=http%3a%2f%2fwww.austlii.edu.au%2fau%2flegis%2fvic%2fconsol_act%2fgra2003190%2fs9a.1.1.html%23gaming" TargetMode="External"/><Relationship Id="rId2" Type="http://schemas.openxmlformats.org/officeDocument/2006/relationships/numbering" Target="numbering.xml"/><Relationship Id="rId16" Type="http://schemas.openxmlformats.org/officeDocument/2006/relationships/hyperlink" Target="https://webmail.mornpen.vic.gov.au/owa/redir.aspx?C=KBNa53b8K0WMJxCG3RKFDPkRKPsrxdEInpGgMi8Ls1Nlpaw2BciK1e-GyiWtSXxn2325f4kAvqg.&amp;URL=http%3a%2f%2fwww.austlii.edu.au%2fau%2flegis%2fvic%2fconsol_act%2fgra2003190%2fs1.3.html%23gaming_machine_entitl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ebmail.mornpen.vic.gov.au/owa/redir.aspx?C=KBNa53b8K0WMJxCG3RKFDPkRKPsrxdEInpGgMi8Ls1Nlpaw2BciK1e-GyiWtSXxn2325f4kAvqg.&amp;URL=http%3a%2f%2fwww.responsiblegambling.vic.gov.au%2f"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ebmail.mornpen.vic.gov.au/owa/redir.aspx?C=KBNa53b8K0WMJxCG3RKFDPkRKPsrxdEInpGgMi8Ls1Nlpaw2BciK1e-GyiWtSXxn2325f4kAvqg.&amp;URL=http%3a%2f%2fwww.vcglr.vic.gov.au%2fhome%2fresources%2fdata%2band%2bresearch%2fdata%2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udit.act.gov.au/auditreports/reports2012/Report%201_2012%20Monitoring%20and%20minimising%20harm%20caused%20by%20problem%20gambling%20in%20the%20ACT.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04D045-6A1C-456F-8235-919AA68CC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2924</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Maribyrnong City Council</Company>
  <LinksUpToDate>false</LinksUpToDate>
  <CharactersWithSpaces>19552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cdwyer</dc:creator>
  <cp:lastModifiedBy>TCHURCHILL</cp:lastModifiedBy>
  <cp:revision>3</cp:revision>
  <cp:lastPrinted>2016-03-23T23:30:00Z</cp:lastPrinted>
  <dcterms:created xsi:type="dcterms:W3CDTF">2016-04-26T01:15:00Z</dcterms:created>
  <dcterms:modified xsi:type="dcterms:W3CDTF">2016-04-26T01:19:00Z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-642434933</vt:i4>
  </property>
  <property fmtid="{D5CDD505-2E9C-101B-9397-08002B2CF9AE}" pid="3" name="_NewReviewCycle">
    <vt:lpwstr/>
  </property>
  <property fmtid="{D5CDD505-2E9C-101B-9397-08002B2CF9AE}" pid="4" name="_EmailSubject">
    <vt:lpwstr>Gambling Policy</vt:lpwstr>
  </property>
  <property fmtid="{D5CDD505-2E9C-101B-9397-08002B2CF9AE}" pid="5" name="_AuthorEmail">
    <vt:lpwstr>Jenny.Macaffer@maribyrnong.vic.gov.au</vt:lpwstr>
  </property>
  <property fmtid="{D5CDD505-2E9C-101B-9397-08002B2CF9AE}" pid="6" name="_AuthorEmailDisplayName">
    <vt:lpwstr>Jenny Macaffer</vt:lpwstr>
  </property>
  <property fmtid="{D5CDD505-2E9C-101B-9397-08002B2CF9AE}" pid="7" name="_PreviousAdHocReviewCycleID">
    <vt:i4>467624391</vt:i4>
  </property>
  <property fmtid="{D5CDD505-2E9C-101B-9397-08002B2CF9AE}" pid="8" name="_ReviewingToolsShownOnce">
    <vt:lpwstr/>
  </property>
</Properties>
</file>