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F0" w:rsidRDefault="00410CF1" w:rsidP="00523B45">
      <w:pPr>
        <w:jc w:val="center"/>
        <w:rPr>
          <w:b/>
          <w:sz w:val="72"/>
          <w:szCs w:val="72"/>
        </w:rPr>
      </w:pPr>
      <w:r>
        <w:rPr>
          <w:noProof/>
        </w:rPr>
        <w:drawing>
          <wp:inline distT="0" distB="0" distL="0" distR="0">
            <wp:extent cx="5407025" cy="1788795"/>
            <wp:effectExtent l="19050" t="0" r="3175" b="0"/>
            <wp:docPr id="1" name="Picture 1" descr="W:\Intranet\Corporate Services\Communications\Attachments\Style Guide\Visual_Identity\MCC_logo_suite\RGB\MCC_Logo_H_24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ranet\Corporate Services\Communications\Attachments\Style Guide\Visual_Identity\MCC_logo_suite\RGB\MCC_Logo_H_24x8.jpg"/>
                    <pic:cNvPicPr>
                      <a:picLocks noChangeAspect="1" noChangeArrowheads="1"/>
                    </pic:cNvPicPr>
                  </pic:nvPicPr>
                  <pic:blipFill>
                    <a:blip r:embed="rId8" cstate="print"/>
                    <a:srcRect/>
                    <a:stretch>
                      <a:fillRect/>
                    </a:stretch>
                  </pic:blipFill>
                  <pic:spPr bwMode="auto">
                    <a:xfrm>
                      <a:off x="0" y="0"/>
                      <a:ext cx="5407025" cy="1788795"/>
                    </a:xfrm>
                    <a:prstGeom prst="rect">
                      <a:avLst/>
                    </a:prstGeom>
                    <a:noFill/>
                    <a:ln w="9525">
                      <a:noFill/>
                      <a:miter lim="800000"/>
                      <a:headEnd/>
                      <a:tailEnd/>
                    </a:ln>
                  </pic:spPr>
                </pic:pic>
              </a:graphicData>
            </a:graphic>
          </wp:inline>
        </w:drawing>
      </w:r>
    </w:p>
    <w:p w:rsidR="001656F0" w:rsidRDefault="001656F0" w:rsidP="00523B45">
      <w:pPr>
        <w:jc w:val="center"/>
        <w:rPr>
          <w:b/>
          <w:sz w:val="72"/>
          <w:szCs w:val="72"/>
        </w:rPr>
      </w:pPr>
    </w:p>
    <w:p w:rsidR="00470380" w:rsidRDefault="00470380" w:rsidP="004F4E8F">
      <w:pPr>
        <w:jc w:val="center"/>
        <w:rPr>
          <w:b/>
          <w:sz w:val="72"/>
          <w:szCs w:val="72"/>
        </w:rPr>
      </w:pPr>
      <w:r>
        <w:rPr>
          <w:b/>
          <w:sz w:val="72"/>
          <w:szCs w:val="72"/>
        </w:rPr>
        <w:t>Appendix 1:</w:t>
      </w:r>
    </w:p>
    <w:p w:rsidR="00A36E2A" w:rsidRDefault="007D04C4" w:rsidP="004F4E8F">
      <w:pPr>
        <w:jc w:val="center"/>
        <w:rPr>
          <w:b/>
          <w:sz w:val="72"/>
          <w:szCs w:val="72"/>
        </w:rPr>
      </w:pPr>
      <w:r>
        <w:rPr>
          <w:b/>
          <w:sz w:val="72"/>
          <w:szCs w:val="72"/>
        </w:rPr>
        <w:t xml:space="preserve">Gambling </w:t>
      </w:r>
      <w:r w:rsidR="004F4E8F">
        <w:rPr>
          <w:b/>
          <w:sz w:val="72"/>
          <w:szCs w:val="72"/>
        </w:rPr>
        <w:t>Background Paper</w:t>
      </w:r>
    </w:p>
    <w:p w:rsidR="007D04C4" w:rsidRDefault="007D04C4" w:rsidP="004F4E8F">
      <w:pPr>
        <w:jc w:val="center"/>
        <w:rPr>
          <w:b/>
          <w:sz w:val="72"/>
          <w:szCs w:val="72"/>
        </w:rPr>
      </w:pPr>
      <w:r>
        <w:rPr>
          <w:b/>
          <w:sz w:val="72"/>
          <w:szCs w:val="72"/>
        </w:rPr>
        <w:t>2016</w:t>
      </w:r>
    </w:p>
    <w:p w:rsidR="00C0223A" w:rsidRDefault="00C0223A">
      <w:pPr>
        <w:rPr>
          <w:b/>
          <w:sz w:val="32"/>
          <w:szCs w:val="32"/>
        </w:rPr>
      </w:pPr>
    </w:p>
    <w:p w:rsidR="00C0223A" w:rsidRDefault="00C0223A">
      <w:pPr>
        <w:rPr>
          <w:b/>
          <w:sz w:val="32"/>
          <w:szCs w:val="32"/>
        </w:rPr>
      </w:pPr>
    </w:p>
    <w:p w:rsidR="00C0223A" w:rsidRDefault="00C0223A">
      <w:pPr>
        <w:rPr>
          <w:b/>
          <w:sz w:val="32"/>
          <w:szCs w:val="32"/>
        </w:rPr>
      </w:pPr>
    </w:p>
    <w:p w:rsidR="00C0223A" w:rsidRDefault="00C0223A">
      <w:pPr>
        <w:rPr>
          <w:b/>
          <w:sz w:val="32"/>
          <w:szCs w:val="32"/>
        </w:rPr>
      </w:pPr>
    </w:p>
    <w:p w:rsidR="00C0223A" w:rsidRDefault="00C0223A">
      <w:pPr>
        <w:rPr>
          <w:b/>
          <w:sz w:val="32"/>
          <w:szCs w:val="32"/>
        </w:rPr>
      </w:pPr>
    </w:p>
    <w:p w:rsidR="007D04C4" w:rsidRDefault="007D04C4" w:rsidP="00B045DB">
      <w:pPr>
        <w:spacing w:after="0"/>
        <w:rPr>
          <w:sz w:val="24"/>
          <w:szCs w:val="24"/>
        </w:rPr>
      </w:pPr>
    </w:p>
    <w:p w:rsidR="007D04C4" w:rsidRDefault="007D04C4" w:rsidP="00B045DB">
      <w:pPr>
        <w:spacing w:after="0"/>
        <w:rPr>
          <w:sz w:val="24"/>
          <w:szCs w:val="24"/>
        </w:rPr>
      </w:pPr>
    </w:p>
    <w:p w:rsidR="007D04C4" w:rsidRDefault="007D04C4" w:rsidP="00B045DB">
      <w:pPr>
        <w:spacing w:after="0"/>
        <w:rPr>
          <w:sz w:val="24"/>
          <w:szCs w:val="24"/>
        </w:rPr>
      </w:pPr>
    </w:p>
    <w:p w:rsidR="007D04C4" w:rsidRDefault="007D04C4" w:rsidP="00B045DB">
      <w:pPr>
        <w:spacing w:after="0"/>
        <w:rPr>
          <w:sz w:val="24"/>
          <w:szCs w:val="24"/>
        </w:rPr>
      </w:pPr>
    </w:p>
    <w:p w:rsidR="007D04C4" w:rsidRDefault="007D04C4" w:rsidP="00B045DB">
      <w:pPr>
        <w:spacing w:after="0"/>
        <w:rPr>
          <w:sz w:val="24"/>
          <w:szCs w:val="24"/>
        </w:rPr>
      </w:pPr>
    </w:p>
    <w:p w:rsidR="00C0223A" w:rsidRPr="009A13AE" w:rsidRDefault="00470380" w:rsidP="00B045DB">
      <w:pPr>
        <w:spacing w:after="0"/>
        <w:rPr>
          <w:sz w:val="20"/>
          <w:szCs w:val="20"/>
        </w:rPr>
      </w:pPr>
      <w:r w:rsidRPr="009A13AE">
        <w:rPr>
          <w:sz w:val="20"/>
          <w:szCs w:val="20"/>
        </w:rPr>
        <w:t>M</w:t>
      </w:r>
      <w:r w:rsidR="00B045DB" w:rsidRPr="009A13AE">
        <w:rPr>
          <w:sz w:val="20"/>
          <w:szCs w:val="20"/>
        </w:rPr>
        <w:t>alcolm Roberts-Palmer</w:t>
      </w:r>
    </w:p>
    <w:p w:rsidR="00B045DB" w:rsidRPr="009A13AE" w:rsidRDefault="00B045DB" w:rsidP="00B045DB">
      <w:pPr>
        <w:spacing w:after="0"/>
        <w:rPr>
          <w:sz w:val="20"/>
          <w:szCs w:val="20"/>
        </w:rPr>
      </w:pPr>
      <w:r w:rsidRPr="009A13AE">
        <w:rPr>
          <w:sz w:val="20"/>
          <w:szCs w:val="20"/>
        </w:rPr>
        <w:t>Senior Social Policy and Research Officer</w:t>
      </w:r>
    </w:p>
    <w:p w:rsidR="00A20626" w:rsidRDefault="00B045DB" w:rsidP="007D04C4">
      <w:pPr>
        <w:spacing w:after="0"/>
        <w:rPr>
          <w:sz w:val="24"/>
          <w:szCs w:val="24"/>
        </w:rPr>
      </w:pPr>
      <w:r w:rsidRPr="009A13AE">
        <w:rPr>
          <w:sz w:val="20"/>
          <w:szCs w:val="20"/>
        </w:rPr>
        <w:t>Social Policy and Partnerships</w:t>
      </w:r>
      <w:r w:rsidR="00A20626">
        <w:rPr>
          <w:sz w:val="24"/>
          <w:szCs w:val="24"/>
        </w:rPr>
        <w:br w:type="page"/>
      </w:r>
    </w:p>
    <w:sdt>
      <w:sdtPr>
        <w:rPr>
          <w:rFonts w:asciiTheme="minorHAnsi" w:eastAsiaTheme="minorEastAsia" w:hAnsiTheme="minorHAnsi" w:cstheme="minorBidi"/>
          <w:b w:val="0"/>
          <w:bCs w:val="0"/>
          <w:color w:val="auto"/>
          <w:sz w:val="22"/>
          <w:szCs w:val="22"/>
          <w:lang w:val="en-AU" w:eastAsia="en-AU"/>
        </w:rPr>
        <w:id w:val="20416226"/>
        <w:docPartObj>
          <w:docPartGallery w:val="Table of Contents"/>
          <w:docPartUnique/>
        </w:docPartObj>
      </w:sdtPr>
      <w:sdtEndPr/>
      <w:sdtContent>
        <w:p w:rsidR="00A403DE" w:rsidRDefault="00A403DE">
          <w:pPr>
            <w:pStyle w:val="TOCHeading"/>
          </w:pPr>
          <w:r w:rsidRPr="00A403DE">
            <w:rPr>
              <w:rFonts w:asciiTheme="minorHAnsi" w:hAnsiTheme="minorHAnsi"/>
              <w:color w:val="auto"/>
            </w:rPr>
            <w:t>Table of Contents</w:t>
          </w:r>
        </w:p>
        <w:p w:rsidR="007D04C4" w:rsidRDefault="00F82738">
          <w:pPr>
            <w:pStyle w:val="TOC1"/>
            <w:tabs>
              <w:tab w:val="right" w:leader="dot" w:pos="9016"/>
            </w:tabs>
            <w:rPr>
              <w:noProof/>
            </w:rPr>
          </w:pPr>
          <w:r>
            <w:fldChar w:fldCharType="begin"/>
          </w:r>
          <w:r w:rsidR="00A403DE">
            <w:instrText xml:space="preserve"> TOC \o "1-3" \h \z \u </w:instrText>
          </w:r>
          <w:r>
            <w:fldChar w:fldCharType="separate"/>
          </w:r>
          <w:hyperlink w:anchor="_Toc446348708" w:history="1">
            <w:r w:rsidR="007D04C4" w:rsidRPr="00AE7A07">
              <w:rPr>
                <w:rStyle w:val="Hyperlink"/>
                <w:noProof/>
              </w:rPr>
              <w:t>Introduction</w:t>
            </w:r>
            <w:r w:rsidR="007D04C4">
              <w:rPr>
                <w:noProof/>
                <w:webHidden/>
              </w:rPr>
              <w:tab/>
            </w:r>
            <w:r w:rsidR="007D04C4">
              <w:rPr>
                <w:noProof/>
                <w:webHidden/>
              </w:rPr>
              <w:fldChar w:fldCharType="begin"/>
            </w:r>
            <w:r w:rsidR="007D04C4">
              <w:rPr>
                <w:noProof/>
                <w:webHidden/>
              </w:rPr>
              <w:instrText xml:space="preserve"> PAGEREF _Toc446348708 \h </w:instrText>
            </w:r>
            <w:r w:rsidR="007D04C4">
              <w:rPr>
                <w:noProof/>
                <w:webHidden/>
              </w:rPr>
            </w:r>
            <w:r w:rsidR="007D04C4">
              <w:rPr>
                <w:noProof/>
                <w:webHidden/>
              </w:rPr>
              <w:fldChar w:fldCharType="separate"/>
            </w:r>
            <w:r w:rsidR="007D04C4">
              <w:rPr>
                <w:noProof/>
                <w:webHidden/>
              </w:rPr>
              <w:t>2</w:t>
            </w:r>
            <w:r w:rsidR="007D04C4">
              <w:rPr>
                <w:noProof/>
                <w:webHidden/>
              </w:rPr>
              <w:fldChar w:fldCharType="end"/>
            </w:r>
          </w:hyperlink>
        </w:p>
        <w:p w:rsidR="007D04C4" w:rsidRDefault="00901109">
          <w:pPr>
            <w:pStyle w:val="TOC1"/>
            <w:tabs>
              <w:tab w:val="right" w:leader="dot" w:pos="9016"/>
            </w:tabs>
            <w:rPr>
              <w:noProof/>
            </w:rPr>
          </w:pPr>
          <w:hyperlink w:anchor="_Toc446348709" w:history="1">
            <w:r w:rsidR="007D04C4" w:rsidRPr="00AE7A07">
              <w:rPr>
                <w:rStyle w:val="Hyperlink"/>
                <w:noProof/>
              </w:rPr>
              <w:t>Gambling in Victoria</w:t>
            </w:r>
            <w:r w:rsidR="007D04C4">
              <w:rPr>
                <w:noProof/>
                <w:webHidden/>
              </w:rPr>
              <w:tab/>
            </w:r>
            <w:r w:rsidR="007D04C4">
              <w:rPr>
                <w:noProof/>
                <w:webHidden/>
              </w:rPr>
              <w:fldChar w:fldCharType="begin"/>
            </w:r>
            <w:r w:rsidR="007D04C4">
              <w:rPr>
                <w:noProof/>
                <w:webHidden/>
              </w:rPr>
              <w:instrText xml:space="preserve"> PAGEREF _Toc446348709 \h </w:instrText>
            </w:r>
            <w:r w:rsidR="007D04C4">
              <w:rPr>
                <w:noProof/>
                <w:webHidden/>
              </w:rPr>
            </w:r>
            <w:r w:rsidR="007D04C4">
              <w:rPr>
                <w:noProof/>
                <w:webHidden/>
              </w:rPr>
              <w:fldChar w:fldCharType="separate"/>
            </w:r>
            <w:r w:rsidR="007D04C4">
              <w:rPr>
                <w:noProof/>
                <w:webHidden/>
              </w:rPr>
              <w:t>3</w:t>
            </w:r>
            <w:r w:rsidR="007D04C4">
              <w:rPr>
                <w:noProof/>
                <w:webHidden/>
              </w:rPr>
              <w:fldChar w:fldCharType="end"/>
            </w:r>
          </w:hyperlink>
        </w:p>
        <w:p w:rsidR="007D04C4" w:rsidRDefault="00901109">
          <w:pPr>
            <w:pStyle w:val="TOC1"/>
            <w:tabs>
              <w:tab w:val="right" w:leader="dot" w:pos="9016"/>
            </w:tabs>
            <w:rPr>
              <w:noProof/>
            </w:rPr>
          </w:pPr>
          <w:hyperlink w:anchor="_Toc446348710" w:history="1">
            <w:r w:rsidR="007D04C4" w:rsidRPr="00AE7A07">
              <w:rPr>
                <w:rStyle w:val="Hyperlink"/>
                <w:noProof/>
              </w:rPr>
              <w:t>Gambling in the City of Maribyrnong</w:t>
            </w:r>
            <w:r w:rsidR="007D04C4">
              <w:rPr>
                <w:noProof/>
                <w:webHidden/>
              </w:rPr>
              <w:tab/>
            </w:r>
            <w:r w:rsidR="007D04C4">
              <w:rPr>
                <w:noProof/>
                <w:webHidden/>
              </w:rPr>
              <w:fldChar w:fldCharType="begin"/>
            </w:r>
            <w:r w:rsidR="007D04C4">
              <w:rPr>
                <w:noProof/>
                <w:webHidden/>
              </w:rPr>
              <w:instrText xml:space="preserve"> PAGEREF _Toc446348710 \h </w:instrText>
            </w:r>
            <w:r w:rsidR="007D04C4">
              <w:rPr>
                <w:noProof/>
                <w:webHidden/>
              </w:rPr>
            </w:r>
            <w:r w:rsidR="007D04C4">
              <w:rPr>
                <w:noProof/>
                <w:webHidden/>
              </w:rPr>
              <w:fldChar w:fldCharType="separate"/>
            </w:r>
            <w:r w:rsidR="007D04C4">
              <w:rPr>
                <w:noProof/>
                <w:webHidden/>
              </w:rPr>
              <w:t>8</w:t>
            </w:r>
            <w:r w:rsidR="007D04C4">
              <w:rPr>
                <w:noProof/>
                <w:webHidden/>
              </w:rPr>
              <w:fldChar w:fldCharType="end"/>
            </w:r>
          </w:hyperlink>
        </w:p>
        <w:p w:rsidR="007D04C4" w:rsidRDefault="00901109">
          <w:pPr>
            <w:pStyle w:val="TOC1"/>
            <w:tabs>
              <w:tab w:val="right" w:leader="dot" w:pos="9016"/>
            </w:tabs>
            <w:rPr>
              <w:noProof/>
            </w:rPr>
          </w:pPr>
          <w:hyperlink w:anchor="_Toc446348711" w:history="1">
            <w:r w:rsidR="007D04C4" w:rsidRPr="00AE7A07">
              <w:rPr>
                <w:rStyle w:val="Hyperlink"/>
                <w:noProof/>
              </w:rPr>
              <w:t>The Causes and Impacts of Problem Gambling</w:t>
            </w:r>
            <w:r w:rsidR="007D04C4">
              <w:rPr>
                <w:noProof/>
                <w:webHidden/>
              </w:rPr>
              <w:tab/>
            </w:r>
            <w:r w:rsidR="007D04C4">
              <w:rPr>
                <w:noProof/>
                <w:webHidden/>
              </w:rPr>
              <w:fldChar w:fldCharType="begin"/>
            </w:r>
            <w:r w:rsidR="007D04C4">
              <w:rPr>
                <w:noProof/>
                <w:webHidden/>
              </w:rPr>
              <w:instrText xml:space="preserve"> PAGEREF _Toc446348711 \h </w:instrText>
            </w:r>
            <w:r w:rsidR="007D04C4">
              <w:rPr>
                <w:noProof/>
                <w:webHidden/>
              </w:rPr>
            </w:r>
            <w:r w:rsidR="007D04C4">
              <w:rPr>
                <w:noProof/>
                <w:webHidden/>
              </w:rPr>
              <w:fldChar w:fldCharType="separate"/>
            </w:r>
            <w:r w:rsidR="007D04C4">
              <w:rPr>
                <w:noProof/>
                <w:webHidden/>
              </w:rPr>
              <w:t>11</w:t>
            </w:r>
            <w:r w:rsidR="007D04C4">
              <w:rPr>
                <w:noProof/>
                <w:webHidden/>
              </w:rPr>
              <w:fldChar w:fldCharType="end"/>
            </w:r>
          </w:hyperlink>
        </w:p>
        <w:p w:rsidR="007D04C4" w:rsidRDefault="00901109">
          <w:pPr>
            <w:pStyle w:val="TOC2"/>
            <w:tabs>
              <w:tab w:val="right" w:leader="dot" w:pos="9016"/>
            </w:tabs>
            <w:rPr>
              <w:noProof/>
            </w:rPr>
          </w:pPr>
          <w:hyperlink w:anchor="_Toc446348712" w:history="1">
            <w:r w:rsidR="007D04C4" w:rsidRPr="00AE7A07">
              <w:rPr>
                <w:rStyle w:val="Hyperlink"/>
                <w:noProof/>
              </w:rPr>
              <w:t>Defining Problem Gambling in Victoria</w:t>
            </w:r>
            <w:r w:rsidR="007D04C4">
              <w:rPr>
                <w:noProof/>
                <w:webHidden/>
              </w:rPr>
              <w:tab/>
            </w:r>
            <w:r w:rsidR="007D04C4">
              <w:rPr>
                <w:noProof/>
                <w:webHidden/>
              </w:rPr>
              <w:fldChar w:fldCharType="begin"/>
            </w:r>
            <w:r w:rsidR="007D04C4">
              <w:rPr>
                <w:noProof/>
                <w:webHidden/>
              </w:rPr>
              <w:instrText xml:space="preserve"> PAGEREF _Toc446348712 \h </w:instrText>
            </w:r>
            <w:r w:rsidR="007D04C4">
              <w:rPr>
                <w:noProof/>
                <w:webHidden/>
              </w:rPr>
            </w:r>
            <w:r w:rsidR="007D04C4">
              <w:rPr>
                <w:noProof/>
                <w:webHidden/>
              </w:rPr>
              <w:fldChar w:fldCharType="separate"/>
            </w:r>
            <w:r w:rsidR="007D04C4">
              <w:rPr>
                <w:noProof/>
                <w:webHidden/>
              </w:rPr>
              <w:t>11</w:t>
            </w:r>
            <w:r w:rsidR="007D04C4">
              <w:rPr>
                <w:noProof/>
                <w:webHidden/>
              </w:rPr>
              <w:fldChar w:fldCharType="end"/>
            </w:r>
          </w:hyperlink>
        </w:p>
        <w:p w:rsidR="007D04C4" w:rsidRDefault="00901109">
          <w:pPr>
            <w:pStyle w:val="TOC2"/>
            <w:tabs>
              <w:tab w:val="right" w:leader="dot" w:pos="9016"/>
            </w:tabs>
            <w:rPr>
              <w:noProof/>
            </w:rPr>
          </w:pPr>
          <w:hyperlink w:anchor="_Toc446348713" w:history="1">
            <w:r w:rsidR="007D04C4" w:rsidRPr="00AE7A07">
              <w:rPr>
                <w:rStyle w:val="Hyperlink"/>
                <w:noProof/>
              </w:rPr>
              <w:t>Background</w:t>
            </w:r>
            <w:r w:rsidR="007D04C4">
              <w:rPr>
                <w:noProof/>
                <w:webHidden/>
              </w:rPr>
              <w:tab/>
            </w:r>
            <w:r w:rsidR="007D04C4">
              <w:rPr>
                <w:noProof/>
                <w:webHidden/>
              </w:rPr>
              <w:fldChar w:fldCharType="begin"/>
            </w:r>
            <w:r w:rsidR="007D04C4">
              <w:rPr>
                <w:noProof/>
                <w:webHidden/>
              </w:rPr>
              <w:instrText xml:space="preserve"> PAGEREF _Toc446348713 \h </w:instrText>
            </w:r>
            <w:r w:rsidR="007D04C4">
              <w:rPr>
                <w:noProof/>
                <w:webHidden/>
              </w:rPr>
            </w:r>
            <w:r w:rsidR="007D04C4">
              <w:rPr>
                <w:noProof/>
                <w:webHidden/>
              </w:rPr>
              <w:fldChar w:fldCharType="separate"/>
            </w:r>
            <w:r w:rsidR="007D04C4">
              <w:rPr>
                <w:noProof/>
                <w:webHidden/>
              </w:rPr>
              <w:t>11</w:t>
            </w:r>
            <w:r w:rsidR="007D04C4">
              <w:rPr>
                <w:noProof/>
                <w:webHidden/>
              </w:rPr>
              <w:fldChar w:fldCharType="end"/>
            </w:r>
          </w:hyperlink>
        </w:p>
        <w:p w:rsidR="007D04C4" w:rsidRDefault="00901109">
          <w:pPr>
            <w:pStyle w:val="TOC2"/>
            <w:tabs>
              <w:tab w:val="right" w:leader="dot" w:pos="9016"/>
            </w:tabs>
            <w:rPr>
              <w:noProof/>
            </w:rPr>
          </w:pPr>
          <w:hyperlink w:anchor="_Toc446348714" w:history="1">
            <w:r w:rsidR="007D04C4" w:rsidRPr="00AE7A07">
              <w:rPr>
                <w:rStyle w:val="Hyperlink"/>
                <w:noProof/>
              </w:rPr>
              <w:t>Causes of Problem Gambling</w:t>
            </w:r>
            <w:r w:rsidR="007D04C4">
              <w:rPr>
                <w:noProof/>
                <w:webHidden/>
              </w:rPr>
              <w:tab/>
            </w:r>
            <w:r w:rsidR="007D04C4">
              <w:rPr>
                <w:noProof/>
                <w:webHidden/>
              </w:rPr>
              <w:fldChar w:fldCharType="begin"/>
            </w:r>
            <w:r w:rsidR="007D04C4">
              <w:rPr>
                <w:noProof/>
                <w:webHidden/>
              </w:rPr>
              <w:instrText xml:space="preserve"> PAGEREF _Toc446348714 \h </w:instrText>
            </w:r>
            <w:r w:rsidR="007D04C4">
              <w:rPr>
                <w:noProof/>
                <w:webHidden/>
              </w:rPr>
            </w:r>
            <w:r w:rsidR="007D04C4">
              <w:rPr>
                <w:noProof/>
                <w:webHidden/>
              </w:rPr>
              <w:fldChar w:fldCharType="separate"/>
            </w:r>
            <w:r w:rsidR="007D04C4">
              <w:rPr>
                <w:noProof/>
                <w:webHidden/>
              </w:rPr>
              <w:t>12</w:t>
            </w:r>
            <w:r w:rsidR="007D04C4">
              <w:rPr>
                <w:noProof/>
                <w:webHidden/>
              </w:rPr>
              <w:fldChar w:fldCharType="end"/>
            </w:r>
          </w:hyperlink>
        </w:p>
        <w:p w:rsidR="007D04C4" w:rsidRDefault="00901109">
          <w:pPr>
            <w:pStyle w:val="TOC2"/>
            <w:tabs>
              <w:tab w:val="right" w:leader="dot" w:pos="9016"/>
            </w:tabs>
            <w:rPr>
              <w:noProof/>
            </w:rPr>
          </w:pPr>
          <w:hyperlink w:anchor="_Toc446348715" w:history="1">
            <w:r w:rsidR="007D04C4" w:rsidRPr="00AE7A07">
              <w:rPr>
                <w:rStyle w:val="Hyperlink"/>
                <w:noProof/>
              </w:rPr>
              <w:t>Impacts of Problem Gambling</w:t>
            </w:r>
            <w:r w:rsidR="007D04C4">
              <w:rPr>
                <w:noProof/>
                <w:webHidden/>
              </w:rPr>
              <w:tab/>
            </w:r>
            <w:r w:rsidR="007D04C4">
              <w:rPr>
                <w:noProof/>
                <w:webHidden/>
              </w:rPr>
              <w:fldChar w:fldCharType="begin"/>
            </w:r>
            <w:r w:rsidR="007D04C4">
              <w:rPr>
                <w:noProof/>
                <w:webHidden/>
              </w:rPr>
              <w:instrText xml:space="preserve"> PAGEREF _Toc446348715 \h </w:instrText>
            </w:r>
            <w:r w:rsidR="007D04C4">
              <w:rPr>
                <w:noProof/>
                <w:webHidden/>
              </w:rPr>
            </w:r>
            <w:r w:rsidR="007D04C4">
              <w:rPr>
                <w:noProof/>
                <w:webHidden/>
              </w:rPr>
              <w:fldChar w:fldCharType="separate"/>
            </w:r>
            <w:r w:rsidR="007D04C4">
              <w:rPr>
                <w:noProof/>
                <w:webHidden/>
              </w:rPr>
              <w:t>15</w:t>
            </w:r>
            <w:r w:rsidR="007D04C4">
              <w:rPr>
                <w:noProof/>
                <w:webHidden/>
              </w:rPr>
              <w:fldChar w:fldCharType="end"/>
            </w:r>
          </w:hyperlink>
        </w:p>
        <w:p w:rsidR="00A403DE" w:rsidRDefault="00F82738">
          <w:r>
            <w:fldChar w:fldCharType="end"/>
          </w:r>
        </w:p>
      </w:sdtContent>
    </w:sdt>
    <w:p w:rsidR="00A403DE" w:rsidRDefault="00A403DE">
      <w:r>
        <w:br w:type="page"/>
      </w:r>
    </w:p>
    <w:p w:rsidR="00410DE8" w:rsidRDefault="00040FE1" w:rsidP="00410DE8">
      <w:pPr>
        <w:pStyle w:val="Heading1"/>
        <w:rPr>
          <w:rFonts w:asciiTheme="minorHAnsi" w:hAnsiTheme="minorHAnsi"/>
          <w:sz w:val="28"/>
          <w:szCs w:val="28"/>
        </w:rPr>
      </w:pPr>
      <w:bookmarkStart w:id="0" w:name="_Toc446348708"/>
      <w:r>
        <w:rPr>
          <w:rFonts w:asciiTheme="minorHAnsi" w:hAnsiTheme="minorHAnsi"/>
          <w:sz w:val="28"/>
          <w:szCs w:val="28"/>
        </w:rPr>
        <w:t>Introduction</w:t>
      </w:r>
      <w:bookmarkEnd w:id="0"/>
    </w:p>
    <w:p w:rsidR="00AF3162" w:rsidRPr="007A2E66" w:rsidRDefault="00AF3162" w:rsidP="00AF3162">
      <w:pPr>
        <w:spacing w:before="120" w:after="120"/>
        <w:rPr>
          <w:rFonts w:cstheme="minorHAnsi"/>
          <w:sz w:val="24"/>
        </w:rPr>
      </w:pPr>
      <w:r w:rsidRPr="007A2E66">
        <w:rPr>
          <w:rFonts w:cstheme="minorHAnsi"/>
          <w:sz w:val="24"/>
        </w:rPr>
        <w:t xml:space="preserve">The City of Maribyrnong is a diverse and vibrant community undergoing significant changes with population growth and new residential development. These changes create opportunities for social and economic development in the municipality. </w:t>
      </w:r>
    </w:p>
    <w:p w:rsidR="00AF3162" w:rsidRPr="007A2E66" w:rsidRDefault="00AF3162" w:rsidP="00AF3162">
      <w:pPr>
        <w:spacing w:before="120" w:after="120"/>
        <w:rPr>
          <w:rFonts w:cstheme="minorHAnsi"/>
          <w:sz w:val="24"/>
        </w:rPr>
      </w:pPr>
      <w:r w:rsidRPr="007A2E66">
        <w:rPr>
          <w:rFonts w:cstheme="minorHAnsi"/>
          <w:sz w:val="24"/>
        </w:rPr>
        <w:t xml:space="preserve">However, they also create a number of complex challenges for local residents in areas such as housing affordability, problem gambling and access to community services and facilities and opportunities for employment and education. </w:t>
      </w:r>
    </w:p>
    <w:p w:rsidR="00AF3162" w:rsidRDefault="00AF3162" w:rsidP="00AF3162">
      <w:pPr>
        <w:spacing w:before="120" w:after="120"/>
        <w:rPr>
          <w:rFonts w:cstheme="minorHAnsi"/>
          <w:sz w:val="24"/>
        </w:rPr>
      </w:pPr>
      <w:r w:rsidRPr="007A2E66">
        <w:rPr>
          <w:rFonts w:cstheme="minorHAnsi"/>
          <w:sz w:val="24"/>
        </w:rPr>
        <w:t xml:space="preserve">Maribyrnong City Council </w:t>
      </w:r>
      <w:r>
        <w:rPr>
          <w:rFonts w:cstheme="minorHAnsi"/>
          <w:sz w:val="24"/>
        </w:rPr>
        <w:t>(</w:t>
      </w:r>
      <w:r w:rsidRPr="00D93AA4">
        <w:rPr>
          <w:rFonts w:cstheme="minorHAnsi"/>
          <w:sz w:val="24"/>
        </w:rPr>
        <w:t>Council</w:t>
      </w:r>
      <w:r>
        <w:rPr>
          <w:rFonts w:cstheme="minorHAnsi"/>
          <w:sz w:val="24"/>
        </w:rPr>
        <w:t>)</w:t>
      </w:r>
      <w:r>
        <w:rPr>
          <w:rFonts w:cstheme="minorHAnsi"/>
          <w:b/>
          <w:sz w:val="24"/>
        </w:rPr>
        <w:t xml:space="preserve"> </w:t>
      </w:r>
      <w:r w:rsidRPr="007A2E66">
        <w:rPr>
          <w:rFonts w:cstheme="minorHAnsi"/>
          <w:sz w:val="24"/>
        </w:rPr>
        <w:t xml:space="preserve">has a history of supporting community wellbeing and encouraging social inclusion </w:t>
      </w:r>
      <w:r>
        <w:rPr>
          <w:rFonts w:cstheme="minorHAnsi"/>
          <w:sz w:val="24"/>
        </w:rPr>
        <w:t>by providing</w:t>
      </w:r>
      <w:r w:rsidRPr="007A2E66">
        <w:rPr>
          <w:rFonts w:cstheme="minorHAnsi"/>
          <w:sz w:val="24"/>
        </w:rPr>
        <w:t xml:space="preserve"> programs and services that help to meet the diverse needs of the city’s residents. </w:t>
      </w:r>
    </w:p>
    <w:p w:rsidR="006D5109" w:rsidRPr="00521D45" w:rsidRDefault="006D5109" w:rsidP="006D5109">
      <w:pPr>
        <w:rPr>
          <w:sz w:val="24"/>
          <w:szCs w:val="24"/>
        </w:rPr>
      </w:pPr>
      <w:r w:rsidRPr="00521D45">
        <w:rPr>
          <w:sz w:val="24"/>
          <w:szCs w:val="24"/>
        </w:rPr>
        <w:t>Gambling in Victoria is lawfully provided through electronic gaming machines (</w:t>
      </w:r>
      <w:r w:rsidR="00EB0AD6" w:rsidRPr="006E3900">
        <w:rPr>
          <w:sz w:val="24"/>
          <w:szCs w:val="24"/>
        </w:rPr>
        <w:t>EGMs</w:t>
      </w:r>
      <w:r w:rsidRPr="00521D45">
        <w:rPr>
          <w:sz w:val="24"/>
          <w:szCs w:val="24"/>
        </w:rPr>
        <w:t>) located in hotels, clubs and the casino, wagering (racing and sports betting), lotteries, keno and bingo, as well as by casino table games.</w:t>
      </w:r>
      <w:r w:rsidR="00344C12">
        <w:rPr>
          <w:sz w:val="24"/>
          <w:szCs w:val="24"/>
        </w:rPr>
        <w:t xml:space="preserve"> </w:t>
      </w:r>
      <w:r w:rsidRPr="00521D45">
        <w:rPr>
          <w:sz w:val="24"/>
          <w:szCs w:val="24"/>
        </w:rPr>
        <w:t>In recent years</w:t>
      </w:r>
      <w:r w:rsidR="00704DE9">
        <w:rPr>
          <w:sz w:val="24"/>
          <w:szCs w:val="24"/>
        </w:rPr>
        <w:t>,</w:t>
      </w:r>
      <w:r w:rsidRPr="00521D45">
        <w:rPr>
          <w:sz w:val="24"/>
          <w:szCs w:val="24"/>
        </w:rPr>
        <w:t xml:space="preserve"> there have also been significant increases in online gambling through online wagering.</w:t>
      </w:r>
      <w:r w:rsidRPr="002773A3">
        <w:rPr>
          <w:sz w:val="24"/>
          <w:szCs w:val="24"/>
        </w:rPr>
        <w:t xml:space="preserve"> </w:t>
      </w:r>
    </w:p>
    <w:p w:rsidR="00EA7727" w:rsidRDefault="00410DE8" w:rsidP="00AF3162">
      <w:pPr>
        <w:rPr>
          <w:rFonts w:cs="Arial"/>
          <w:sz w:val="24"/>
          <w:szCs w:val="24"/>
        </w:rPr>
      </w:pPr>
      <w:r w:rsidRPr="008033BA">
        <w:rPr>
          <w:rFonts w:cs="Arial"/>
          <w:sz w:val="24"/>
          <w:szCs w:val="24"/>
        </w:rPr>
        <w:t xml:space="preserve">Local Government has an important role in managing the social, economic and health </w:t>
      </w:r>
      <w:r w:rsidR="001B18C4">
        <w:rPr>
          <w:rFonts w:cs="Arial"/>
          <w:sz w:val="24"/>
          <w:szCs w:val="24"/>
        </w:rPr>
        <w:t xml:space="preserve">and wellbeing </w:t>
      </w:r>
      <w:r w:rsidRPr="008033BA">
        <w:rPr>
          <w:rFonts w:cs="Arial"/>
          <w:sz w:val="24"/>
          <w:szCs w:val="24"/>
        </w:rPr>
        <w:t>impacts of gambling in local communities, particularly for</w:t>
      </w:r>
      <w:r w:rsidR="004314F3">
        <w:rPr>
          <w:rFonts w:cs="Arial"/>
          <w:sz w:val="24"/>
          <w:szCs w:val="24"/>
        </w:rPr>
        <w:t xml:space="preserve"> EGMs</w:t>
      </w:r>
      <w:r w:rsidRPr="008033BA">
        <w:rPr>
          <w:rFonts w:cs="Arial"/>
          <w:sz w:val="24"/>
          <w:szCs w:val="24"/>
        </w:rPr>
        <w:t xml:space="preserve">. </w:t>
      </w:r>
    </w:p>
    <w:p w:rsidR="00085B3E" w:rsidRDefault="00AF3162" w:rsidP="00AF3162">
      <w:pPr>
        <w:rPr>
          <w:rFonts w:cs="Arial"/>
          <w:sz w:val="24"/>
          <w:szCs w:val="24"/>
        </w:rPr>
      </w:pPr>
      <w:r>
        <w:rPr>
          <w:rFonts w:cs="Arial"/>
          <w:sz w:val="24"/>
          <w:szCs w:val="24"/>
        </w:rPr>
        <w:t xml:space="preserve">This background paper provides information about gambling in Victoria and the City of Maribyrnong. </w:t>
      </w:r>
      <w:r w:rsidR="00EC7A27">
        <w:rPr>
          <w:rFonts w:cs="Arial"/>
          <w:sz w:val="24"/>
          <w:szCs w:val="24"/>
        </w:rPr>
        <w:t>T</w:t>
      </w:r>
      <w:r w:rsidR="00085B3E">
        <w:rPr>
          <w:rFonts w:cs="Arial"/>
          <w:sz w:val="24"/>
          <w:szCs w:val="24"/>
        </w:rPr>
        <w:t xml:space="preserve">his includes information about the level of losses from gambling and the taxation revenue raised from gambling in Victoria. </w:t>
      </w:r>
    </w:p>
    <w:p w:rsidR="00B27F1A" w:rsidRDefault="00085B3E" w:rsidP="00AF3162">
      <w:pPr>
        <w:rPr>
          <w:sz w:val="28"/>
          <w:szCs w:val="28"/>
        </w:rPr>
      </w:pPr>
      <w:r>
        <w:rPr>
          <w:rFonts w:cs="Arial"/>
          <w:sz w:val="24"/>
          <w:szCs w:val="24"/>
        </w:rPr>
        <w:t>This paper</w:t>
      </w:r>
      <w:r w:rsidR="00AF3162">
        <w:rPr>
          <w:rFonts w:cs="Arial"/>
          <w:sz w:val="24"/>
          <w:szCs w:val="24"/>
        </w:rPr>
        <w:t xml:space="preserve"> </w:t>
      </w:r>
      <w:r>
        <w:rPr>
          <w:rFonts w:cs="Arial"/>
          <w:sz w:val="24"/>
          <w:szCs w:val="24"/>
        </w:rPr>
        <w:t xml:space="preserve">also </w:t>
      </w:r>
      <w:r w:rsidR="00AF3162">
        <w:rPr>
          <w:rFonts w:cs="Arial"/>
          <w:sz w:val="24"/>
          <w:szCs w:val="24"/>
        </w:rPr>
        <w:t>considers the causes and impacts o</w:t>
      </w:r>
      <w:r>
        <w:rPr>
          <w:rFonts w:cs="Arial"/>
          <w:sz w:val="24"/>
          <w:szCs w:val="24"/>
        </w:rPr>
        <w:t>f problem gambling and includes key information about the level of problem gambling in Victoria.</w:t>
      </w:r>
    </w:p>
    <w:p w:rsidR="0090023A" w:rsidRPr="006E3900" w:rsidRDefault="0090023A" w:rsidP="00BC2AAD">
      <w:pPr>
        <w:pStyle w:val="ListParagraph"/>
        <w:numPr>
          <w:ilvl w:val="0"/>
          <w:numId w:val="35"/>
        </w:numPr>
        <w:rPr>
          <w:b/>
          <w:sz w:val="24"/>
          <w:szCs w:val="24"/>
        </w:rPr>
      </w:pPr>
      <w:r w:rsidRPr="006E3900">
        <w:rPr>
          <w:b/>
          <w:sz w:val="24"/>
          <w:szCs w:val="24"/>
        </w:rPr>
        <w:br w:type="page"/>
      </w:r>
    </w:p>
    <w:p w:rsidR="00E30B8A" w:rsidRPr="00C03A4C" w:rsidRDefault="00E30B8A" w:rsidP="00C03A4C">
      <w:pPr>
        <w:pStyle w:val="Heading1"/>
        <w:rPr>
          <w:rFonts w:asciiTheme="minorHAnsi" w:hAnsiTheme="minorHAnsi"/>
          <w:sz w:val="28"/>
          <w:szCs w:val="28"/>
        </w:rPr>
      </w:pPr>
      <w:bookmarkStart w:id="1" w:name="_Toc446348709"/>
      <w:r w:rsidRPr="00C03A4C">
        <w:rPr>
          <w:rFonts w:asciiTheme="minorHAnsi" w:hAnsiTheme="minorHAnsi"/>
          <w:sz w:val="28"/>
          <w:szCs w:val="28"/>
        </w:rPr>
        <w:t>Gambling in Victoria</w:t>
      </w:r>
      <w:bookmarkEnd w:id="1"/>
      <w:r w:rsidRPr="00C03A4C">
        <w:rPr>
          <w:rFonts w:asciiTheme="minorHAnsi" w:hAnsiTheme="minorHAnsi"/>
          <w:sz w:val="28"/>
          <w:szCs w:val="28"/>
        </w:rPr>
        <w:t xml:space="preserve"> </w:t>
      </w:r>
    </w:p>
    <w:p w:rsidR="00264669" w:rsidRDefault="00264669" w:rsidP="00264669">
      <w:pPr>
        <w:rPr>
          <w:sz w:val="24"/>
          <w:szCs w:val="24"/>
        </w:rPr>
      </w:pPr>
      <w:r w:rsidRPr="00264669">
        <w:rPr>
          <w:sz w:val="24"/>
          <w:szCs w:val="24"/>
        </w:rPr>
        <w:t xml:space="preserve">Gambling in Victoria </w:t>
      </w:r>
      <w:r w:rsidR="001565C9">
        <w:rPr>
          <w:sz w:val="24"/>
          <w:szCs w:val="24"/>
        </w:rPr>
        <w:t>is lawfully conducted</w:t>
      </w:r>
      <w:r w:rsidRPr="00264669">
        <w:rPr>
          <w:sz w:val="24"/>
          <w:szCs w:val="24"/>
        </w:rPr>
        <w:t xml:space="preserve"> </w:t>
      </w:r>
      <w:r w:rsidR="001565C9">
        <w:rPr>
          <w:sz w:val="24"/>
          <w:szCs w:val="24"/>
        </w:rPr>
        <w:t xml:space="preserve">via </w:t>
      </w:r>
      <w:r w:rsidR="00AC1084">
        <w:rPr>
          <w:sz w:val="24"/>
          <w:szCs w:val="24"/>
        </w:rPr>
        <w:t>EGMs</w:t>
      </w:r>
      <w:r w:rsidR="001565C9">
        <w:rPr>
          <w:sz w:val="24"/>
          <w:szCs w:val="24"/>
        </w:rPr>
        <w:t xml:space="preserve"> in hotels, clubs and the casino</w:t>
      </w:r>
      <w:r w:rsidR="005E5FBD">
        <w:rPr>
          <w:sz w:val="24"/>
          <w:szCs w:val="24"/>
        </w:rPr>
        <w:t>, w</w:t>
      </w:r>
      <w:r w:rsidRPr="00264669">
        <w:rPr>
          <w:sz w:val="24"/>
          <w:szCs w:val="24"/>
        </w:rPr>
        <w:t>agering (Racing and Sports Betting), Lotteries</w:t>
      </w:r>
      <w:r w:rsidR="001565C9">
        <w:rPr>
          <w:sz w:val="24"/>
          <w:szCs w:val="24"/>
        </w:rPr>
        <w:t>,</w:t>
      </w:r>
      <w:r w:rsidRPr="00264669">
        <w:rPr>
          <w:sz w:val="24"/>
          <w:szCs w:val="24"/>
        </w:rPr>
        <w:t xml:space="preserve"> Club Keno</w:t>
      </w:r>
      <w:r w:rsidR="001565C9">
        <w:rPr>
          <w:sz w:val="24"/>
          <w:szCs w:val="24"/>
        </w:rPr>
        <w:t>, bingo</w:t>
      </w:r>
      <w:r w:rsidR="002733BB">
        <w:rPr>
          <w:sz w:val="24"/>
          <w:szCs w:val="24"/>
        </w:rPr>
        <w:t xml:space="preserve"> and Crown Casino</w:t>
      </w:r>
      <w:r w:rsidRPr="00264669">
        <w:rPr>
          <w:sz w:val="24"/>
          <w:szCs w:val="24"/>
        </w:rPr>
        <w:t xml:space="preserve">, </w:t>
      </w:r>
      <w:r w:rsidR="00AC1084">
        <w:rPr>
          <w:sz w:val="24"/>
          <w:szCs w:val="24"/>
        </w:rPr>
        <w:t>all</w:t>
      </w:r>
      <w:r w:rsidRPr="00264669">
        <w:rPr>
          <w:sz w:val="24"/>
          <w:szCs w:val="24"/>
        </w:rPr>
        <w:t xml:space="preserve"> regulated by the </w:t>
      </w:r>
      <w:r w:rsidR="00AC1084">
        <w:rPr>
          <w:sz w:val="24"/>
          <w:szCs w:val="24"/>
        </w:rPr>
        <w:t xml:space="preserve">VCGLR under the </w:t>
      </w:r>
      <w:r w:rsidR="00AC1084">
        <w:rPr>
          <w:rFonts w:ascii="Calibri" w:hAnsi="Calibri"/>
          <w:i/>
          <w:sz w:val="24"/>
        </w:rPr>
        <w:t>Gambling Regulation Act 2003</w:t>
      </w:r>
      <w:r w:rsidRPr="00264669">
        <w:rPr>
          <w:sz w:val="24"/>
          <w:szCs w:val="24"/>
        </w:rPr>
        <w:t xml:space="preserve">. </w:t>
      </w:r>
      <w:r w:rsidR="001C305A">
        <w:rPr>
          <w:sz w:val="24"/>
          <w:szCs w:val="24"/>
        </w:rPr>
        <w:t xml:space="preserve"> </w:t>
      </w:r>
      <w:r w:rsidR="001565C9">
        <w:rPr>
          <w:sz w:val="24"/>
          <w:szCs w:val="24"/>
        </w:rPr>
        <w:t>Lawful o</w:t>
      </w:r>
      <w:r w:rsidR="002733BB">
        <w:rPr>
          <w:sz w:val="24"/>
          <w:szCs w:val="24"/>
        </w:rPr>
        <w:t xml:space="preserve">nline </w:t>
      </w:r>
      <w:r w:rsidR="007445FF">
        <w:rPr>
          <w:sz w:val="24"/>
          <w:szCs w:val="24"/>
        </w:rPr>
        <w:t xml:space="preserve">gambling </w:t>
      </w:r>
      <w:r w:rsidR="001565C9">
        <w:rPr>
          <w:sz w:val="24"/>
          <w:szCs w:val="24"/>
        </w:rPr>
        <w:t>involves wagering via the internet, mostly on racing and sport</w:t>
      </w:r>
      <w:r w:rsidR="000C4219">
        <w:rPr>
          <w:sz w:val="24"/>
          <w:szCs w:val="24"/>
        </w:rPr>
        <w:t>.</w:t>
      </w:r>
      <w:r w:rsidR="002733BB">
        <w:rPr>
          <w:sz w:val="24"/>
          <w:szCs w:val="24"/>
        </w:rPr>
        <w:t xml:space="preserve"> </w:t>
      </w:r>
    </w:p>
    <w:p w:rsidR="00543D40" w:rsidRPr="00543D40" w:rsidRDefault="00543D40" w:rsidP="00264669">
      <w:pPr>
        <w:rPr>
          <w:b/>
          <w:i/>
          <w:sz w:val="24"/>
          <w:szCs w:val="24"/>
        </w:rPr>
      </w:pPr>
      <w:r w:rsidRPr="00543D40">
        <w:rPr>
          <w:b/>
          <w:i/>
          <w:sz w:val="24"/>
          <w:szCs w:val="24"/>
        </w:rPr>
        <w:t>EGM gambling</w:t>
      </w:r>
    </w:p>
    <w:p w:rsidR="00543D40" w:rsidRPr="002B36C7" w:rsidRDefault="00543D40" w:rsidP="00543D40">
      <w:pPr>
        <w:spacing w:before="120"/>
        <w:rPr>
          <w:rFonts w:ascii="Calibri" w:hAnsi="Calibri"/>
          <w:sz w:val="24"/>
        </w:rPr>
      </w:pPr>
      <w:r w:rsidRPr="002B36C7">
        <w:rPr>
          <w:rFonts w:ascii="Calibri" w:hAnsi="Calibri"/>
          <w:sz w:val="24"/>
        </w:rPr>
        <w:t xml:space="preserve">Under the </w:t>
      </w:r>
      <w:r>
        <w:rPr>
          <w:rFonts w:ascii="Calibri" w:hAnsi="Calibri"/>
          <w:i/>
          <w:sz w:val="24"/>
        </w:rPr>
        <w:t>Gambling Regulation Act 2003</w:t>
      </w:r>
      <w:r>
        <w:rPr>
          <w:rFonts w:ascii="Calibri" w:hAnsi="Calibri"/>
          <w:sz w:val="24"/>
        </w:rPr>
        <w:t>,</w:t>
      </w:r>
      <w:r w:rsidRPr="002B36C7">
        <w:rPr>
          <w:rFonts w:ascii="Calibri" w:hAnsi="Calibri"/>
          <w:sz w:val="24"/>
        </w:rPr>
        <w:t xml:space="preserve"> the regulation and conduct of EGM gambling in Victoria involves t</w:t>
      </w:r>
      <w:r w:rsidR="001565C9">
        <w:rPr>
          <w:rFonts w:ascii="Calibri" w:hAnsi="Calibri"/>
          <w:sz w:val="24"/>
        </w:rPr>
        <w:t>wo</w:t>
      </w:r>
      <w:r w:rsidRPr="002B36C7">
        <w:rPr>
          <w:rFonts w:ascii="Calibri" w:hAnsi="Calibri"/>
          <w:sz w:val="24"/>
        </w:rPr>
        <w:t xml:space="preserve"> levels of control and participation in the industry: EGM gambling venues</w:t>
      </w:r>
      <w:r w:rsidR="001565C9">
        <w:rPr>
          <w:rFonts w:ascii="Calibri" w:hAnsi="Calibri"/>
          <w:sz w:val="24"/>
        </w:rPr>
        <w:t xml:space="preserve"> (which since 2012 have also owned and been the licensed operators of EGMs)</w:t>
      </w:r>
      <w:r w:rsidRPr="002B36C7">
        <w:rPr>
          <w:rFonts w:ascii="Calibri" w:hAnsi="Calibri"/>
          <w:sz w:val="24"/>
        </w:rPr>
        <w:t>, and the State Government.</w:t>
      </w:r>
    </w:p>
    <w:p w:rsidR="00543D40" w:rsidRDefault="00225A1F" w:rsidP="00543D40">
      <w:pPr>
        <w:rPr>
          <w:rFonts w:ascii="Calibri" w:hAnsi="Calibri"/>
          <w:sz w:val="24"/>
        </w:rPr>
      </w:pPr>
      <w:r>
        <w:rPr>
          <w:rFonts w:ascii="Calibri" w:hAnsi="Calibri"/>
          <w:sz w:val="24"/>
        </w:rPr>
        <w:t>A</w:t>
      </w:r>
      <w:r w:rsidR="00543D40" w:rsidRPr="002B36C7">
        <w:rPr>
          <w:rFonts w:ascii="Calibri" w:hAnsi="Calibri"/>
          <w:sz w:val="24"/>
        </w:rPr>
        <w:t xml:space="preserve"> maximum of 30,000 EGMs may operate in Victoria. This includes </w:t>
      </w:r>
      <w:r w:rsidR="001565C9">
        <w:rPr>
          <w:rFonts w:ascii="Calibri" w:hAnsi="Calibri"/>
          <w:sz w:val="24"/>
        </w:rPr>
        <w:t xml:space="preserve">more than </w:t>
      </w:r>
      <w:r w:rsidR="00543D40" w:rsidRPr="002B36C7">
        <w:rPr>
          <w:rFonts w:ascii="Calibri" w:hAnsi="Calibri"/>
          <w:sz w:val="24"/>
        </w:rPr>
        <w:t xml:space="preserve">2,500 in Melbourne Casino and </w:t>
      </w:r>
      <w:r w:rsidR="001565C9">
        <w:rPr>
          <w:rFonts w:ascii="Calibri" w:hAnsi="Calibri"/>
          <w:sz w:val="24"/>
        </w:rPr>
        <w:t xml:space="preserve">the balance of </w:t>
      </w:r>
      <w:r>
        <w:rPr>
          <w:rFonts w:ascii="Calibri" w:hAnsi="Calibri"/>
          <w:sz w:val="24"/>
        </w:rPr>
        <w:t xml:space="preserve">the </w:t>
      </w:r>
      <w:r w:rsidR="001565C9">
        <w:rPr>
          <w:rFonts w:ascii="Calibri" w:hAnsi="Calibri"/>
          <w:sz w:val="24"/>
        </w:rPr>
        <w:t xml:space="preserve">30,000 </w:t>
      </w:r>
      <w:r>
        <w:rPr>
          <w:rFonts w:ascii="Calibri" w:hAnsi="Calibri"/>
          <w:sz w:val="24"/>
        </w:rPr>
        <w:t xml:space="preserve">EGM's </w:t>
      </w:r>
      <w:r w:rsidR="001565C9">
        <w:rPr>
          <w:rFonts w:ascii="Calibri" w:hAnsi="Calibri"/>
          <w:sz w:val="24"/>
        </w:rPr>
        <w:t xml:space="preserve">available to be operated </w:t>
      </w:r>
      <w:r w:rsidR="00543D40" w:rsidRPr="002B36C7">
        <w:rPr>
          <w:rFonts w:ascii="Calibri" w:hAnsi="Calibri"/>
          <w:sz w:val="24"/>
        </w:rPr>
        <w:t xml:space="preserve">in clubs and hotels in Victoria. </w:t>
      </w:r>
      <w:r w:rsidR="001C305A">
        <w:rPr>
          <w:rFonts w:ascii="Calibri" w:hAnsi="Calibri"/>
          <w:sz w:val="24"/>
        </w:rPr>
        <w:t xml:space="preserve"> </w:t>
      </w:r>
      <w:r>
        <w:rPr>
          <w:rFonts w:ascii="Calibri" w:hAnsi="Calibri"/>
          <w:sz w:val="24"/>
        </w:rPr>
        <w:t>A</w:t>
      </w:r>
      <w:r w:rsidR="00543D40">
        <w:rPr>
          <w:rFonts w:ascii="Calibri" w:hAnsi="Calibri"/>
          <w:sz w:val="24"/>
        </w:rPr>
        <w:t>t least 20 per cent</w:t>
      </w:r>
      <w:r w:rsidR="00543D40" w:rsidRPr="002B36C7">
        <w:rPr>
          <w:rFonts w:ascii="Calibri" w:hAnsi="Calibri"/>
          <w:sz w:val="24"/>
        </w:rPr>
        <w:t xml:space="preserve"> of </w:t>
      </w:r>
      <w:r>
        <w:rPr>
          <w:rFonts w:ascii="Calibri" w:hAnsi="Calibri"/>
          <w:sz w:val="24"/>
        </w:rPr>
        <w:t>EGMs</w:t>
      </w:r>
      <w:r w:rsidRPr="002B36C7">
        <w:rPr>
          <w:rFonts w:ascii="Calibri" w:hAnsi="Calibri"/>
          <w:sz w:val="24"/>
        </w:rPr>
        <w:t xml:space="preserve"> </w:t>
      </w:r>
      <w:r w:rsidR="00543D40" w:rsidRPr="002B36C7">
        <w:rPr>
          <w:rFonts w:ascii="Calibri" w:hAnsi="Calibri"/>
          <w:sz w:val="24"/>
        </w:rPr>
        <w:t>must be situated outside Melbourne and a maximum of 105 may be permitted within a single venue</w:t>
      </w:r>
      <w:r w:rsidR="00D00F5B">
        <w:rPr>
          <w:rFonts w:ascii="Calibri" w:hAnsi="Calibri"/>
          <w:sz w:val="24"/>
        </w:rPr>
        <w:t xml:space="preserve">, with the exception of Crown Casino. </w:t>
      </w:r>
    </w:p>
    <w:p w:rsidR="008B5489" w:rsidRDefault="008B5489" w:rsidP="00543D40">
      <w:pPr>
        <w:rPr>
          <w:rFonts w:ascii="Calibri" w:hAnsi="Calibri"/>
          <w:b/>
          <w:i/>
          <w:sz w:val="24"/>
        </w:rPr>
      </w:pPr>
      <w:r w:rsidRPr="008B5489">
        <w:rPr>
          <w:rFonts w:ascii="Calibri" w:hAnsi="Calibri"/>
          <w:b/>
          <w:i/>
          <w:sz w:val="24"/>
        </w:rPr>
        <w:t>Crown Casino</w:t>
      </w:r>
    </w:p>
    <w:p w:rsidR="00DB759D" w:rsidRDefault="00924955" w:rsidP="00543D40">
      <w:pPr>
        <w:rPr>
          <w:rFonts w:ascii="Calibri" w:hAnsi="Calibri"/>
          <w:sz w:val="24"/>
        </w:rPr>
      </w:pPr>
      <w:r>
        <w:rPr>
          <w:rFonts w:ascii="Calibri" w:hAnsi="Calibri"/>
          <w:sz w:val="24"/>
        </w:rPr>
        <w:t>Crown Casino is regulated under separate legislation t</w:t>
      </w:r>
      <w:r w:rsidR="001565C9">
        <w:rPr>
          <w:rFonts w:ascii="Calibri" w:hAnsi="Calibri"/>
          <w:sz w:val="24"/>
        </w:rPr>
        <w:t xml:space="preserve">o </w:t>
      </w:r>
      <w:r>
        <w:rPr>
          <w:rFonts w:ascii="Calibri" w:hAnsi="Calibri"/>
          <w:sz w:val="24"/>
        </w:rPr>
        <w:t xml:space="preserve">clubs and hotels in Victoria </w:t>
      </w:r>
      <w:r w:rsidR="00B35CBE">
        <w:rPr>
          <w:rFonts w:ascii="Calibri" w:hAnsi="Calibri"/>
          <w:sz w:val="24"/>
        </w:rPr>
        <w:t xml:space="preserve">under </w:t>
      </w:r>
      <w:r>
        <w:rPr>
          <w:rFonts w:ascii="Calibri" w:hAnsi="Calibri"/>
          <w:sz w:val="24"/>
        </w:rPr>
        <w:t xml:space="preserve">the </w:t>
      </w:r>
      <w:r>
        <w:rPr>
          <w:rFonts w:ascii="Calibri" w:hAnsi="Calibri"/>
          <w:i/>
          <w:sz w:val="24"/>
        </w:rPr>
        <w:t>Casino Act 1991.</w:t>
      </w:r>
      <w:r>
        <w:rPr>
          <w:rFonts w:ascii="Calibri" w:hAnsi="Calibri"/>
          <w:sz w:val="24"/>
        </w:rPr>
        <w:t xml:space="preserve"> </w:t>
      </w:r>
      <w:r w:rsidR="001C305A">
        <w:rPr>
          <w:rFonts w:ascii="Calibri" w:hAnsi="Calibri"/>
          <w:sz w:val="24"/>
        </w:rPr>
        <w:t xml:space="preserve"> </w:t>
      </w:r>
      <w:r>
        <w:rPr>
          <w:rFonts w:ascii="Calibri" w:hAnsi="Calibri"/>
          <w:sz w:val="24"/>
        </w:rPr>
        <w:t>Although Crown Casino is required to follow the same standards and requirements as other gaming venues, there are some exceptions.</w:t>
      </w:r>
      <w:r w:rsidR="00BC56E4">
        <w:rPr>
          <w:rFonts w:ascii="Calibri" w:hAnsi="Calibri"/>
          <w:sz w:val="24"/>
        </w:rPr>
        <w:t xml:space="preserve"> </w:t>
      </w:r>
      <w:r>
        <w:rPr>
          <w:rFonts w:ascii="Calibri" w:hAnsi="Calibri"/>
          <w:sz w:val="24"/>
        </w:rPr>
        <w:t xml:space="preserve"> For example, the Casino operates 24 hours a day, table games are provided and some EGMs offer </w:t>
      </w:r>
      <w:r w:rsidR="001565C9">
        <w:rPr>
          <w:rFonts w:ascii="Calibri" w:hAnsi="Calibri"/>
          <w:sz w:val="24"/>
        </w:rPr>
        <w:t xml:space="preserve">considerably </w:t>
      </w:r>
      <w:r>
        <w:rPr>
          <w:rFonts w:ascii="Calibri" w:hAnsi="Calibri"/>
          <w:sz w:val="24"/>
        </w:rPr>
        <w:t xml:space="preserve">higher bet limits. </w:t>
      </w:r>
    </w:p>
    <w:p w:rsidR="005D275D" w:rsidRPr="00924955" w:rsidRDefault="005D275D" w:rsidP="00543D40">
      <w:pPr>
        <w:rPr>
          <w:rFonts w:ascii="Calibri" w:hAnsi="Calibri"/>
          <w:sz w:val="24"/>
        </w:rPr>
      </w:pPr>
      <w:r>
        <w:rPr>
          <w:rFonts w:ascii="Calibri" w:hAnsi="Calibri"/>
          <w:sz w:val="24"/>
        </w:rPr>
        <w:t>Crown Casino operates 440 gaming tables and 100 poker tables</w:t>
      </w:r>
      <w:r w:rsidR="001F58C8">
        <w:rPr>
          <w:rFonts w:ascii="Calibri" w:hAnsi="Calibri"/>
          <w:sz w:val="24"/>
        </w:rPr>
        <w:t>, T</w:t>
      </w:r>
      <w:r w:rsidR="001565C9">
        <w:rPr>
          <w:rFonts w:ascii="Calibri" w:hAnsi="Calibri"/>
          <w:sz w:val="24"/>
        </w:rPr>
        <w:t>able games</w:t>
      </w:r>
      <w:r w:rsidR="001F58C8">
        <w:rPr>
          <w:rFonts w:ascii="Calibri" w:hAnsi="Calibri"/>
          <w:sz w:val="24"/>
        </w:rPr>
        <w:t xml:space="preserve"> include poker, roulette, baccarat, blackjack and craps. </w:t>
      </w:r>
      <w:r w:rsidR="00BC56E4">
        <w:rPr>
          <w:rFonts w:ascii="Calibri" w:hAnsi="Calibri"/>
          <w:sz w:val="24"/>
        </w:rPr>
        <w:t xml:space="preserve"> </w:t>
      </w:r>
      <w:r w:rsidR="001565C9">
        <w:rPr>
          <w:rFonts w:ascii="Calibri" w:hAnsi="Calibri"/>
          <w:sz w:val="24"/>
        </w:rPr>
        <w:t xml:space="preserve">Some of these table games </w:t>
      </w:r>
      <w:r w:rsidR="00B35CBE">
        <w:rPr>
          <w:rFonts w:ascii="Calibri" w:hAnsi="Calibri"/>
          <w:sz w:val="24"/>
        </w:rPr>
        <w:t>are now</w:t>
      </w:r>
      <w:r w:rsidR="001565C9">
        <w:rPr>
          <w:rFonts w:ascii="Calibri" w:hAnsi="Calibri"/>
          <w:sz w:val="24"/>
        </w:rPr>
        <w:t xml:space="preserve"> automated and have some of the characteristics of </w:t>
      </w:r>
      <w:r w:rsidR="00A53EEC">
        <w:rPr>
          <w:rFonts w:ascii="Calibri" w:hAnsi="Calibri"/>
          <w:sz w:val="24"/>
        </w:rPr>
        <w:t>E</w:t>
      </w:r>
      <w:r w:rsidR="001565C9">
        <w:rPr>
          <w:rFonts w:ascii="Calibri" w:hAnsi="Calibri"/>
          <w:sz w:val="24"/>
        </w:rPr>
        <w:t>GM</w:t>
      </w:r>
      <w:r w:rsidR="00B35CBE">
        <w:rPr>
          <w:rFonts w:ascii="Calibri" w:hAnsi="Calibri"/>
          <w:sz w:val="24"/>
        </w:rPr>
        <w:t>s</w:t>
      </w:r>
      <w:r w:rsidR="001565C9">
        <w:rPr>
          <w:rFonts w:ascii="Calibri" w:hAnsi="Calibri"/>
          <w:sz w:val="24"/>
        </w:rPr>
        <w:t xml:space="preserve">. </w:t>
      </w:r>
      <w:r w:rsidR="00BC56E4">
        <w:rPr>
          <w:rFonts w:ascii="Calibri" w:hAnsi="Calibri"/>
          <w:sz w:val="24"/>
        </w:rPr>
        <w:t xml:space="preserve"> </w:t>
      </w:r>
      <w:r w:rsidR="001F58C8">
        <w:rPr>
          <w:rFonts w:ascii="Calibri" w:hAnsi="Calibri"/>
          <w:sz w:val="24"/>
        </w:rPr>
        <w:t xml:space="preserve">Crown Casino </w:t>
      </w:r>
      <w:r w:rsidR="001565C9">
        <w:rPr>
          <w:rFonts w:ascii="Calibri" w:hAnsi="Calibri"/>
          <w:sz w:val="24"/>
        </w:rPr>
        <w:t xml:space="preserve">currently </w:t>
      </w:r>
      <w:r w:rsidR="001F58C8">
        <w:rPr>
          <w:rFonts w:ascii="Calibri" w:hAnsi="Calibri"/>
          <w:sz w:val="24"/>
        </w:rPr>
        <w:t xml:space="preserve">operates </w:t>
      </w:r>
      <w:r>
        <w:rPr>
          <w:rFonts w:ascii="Calibri" w:hAnsi="Calibri"/>
          <w:sz w:val="24"/>
        </w:rPr>
        <w:t>2,628 EGMs</w:t>
      </w:r>
      <w:r w:rsidR="00AB435F">
        <w:rPr>
          <w:rFonts w:ascii="Calibri" w:hAnsi="Calibri"/>
          <w:sz w:val="24"/>
        </w:rPr>
        <w:t>.</w:t>
      </w:r>
      <w:r w:rsidR="001F58C8">
        <w:rPr>
          <w:rFonts w:ascii="Calibri" w:hAnsi="Calibri"/>
          <w:sz w:val="24"/>
        </w:rPr>
        <w:t xml:space="preserve"> </w:t>
      </w:r>
    </w:p>
    <w:p w:rsidR="008B5489" w:rsidRDefault="008B5489" w:rsidP="00543D40">
      <w:pPr>
        <w:rPr>
          <w:rFonts w:ascii="Calibri" w:hAnsi="Calibri"/>
          <w:b/>
          <w:i/>
          <w:sz w:val="24"/>
        </w:rPr>
      </w:pPr>
      <w:r w:rsidRPr="008B5489">
        <w:rPr>
          <w:rFonts w:ascii="Calibri" w:hAnsi="Calibri"/>
          <w:b/>
          <w:i/>
          <w:sz w:val="24"/>
        </w:rPr>
        <w:t>Wagering (Racing and Sports Betting)</w:t>
      </w:r>
    </w:p>
    <w:p w:rsidR="006F2128" w:rsidRDefault="00FD1D11" w:rsidP="00543D40">
      <w:pPr>
        <w:rPr>
          <w:rFonts w:ascii="Calibri" w:hAnsi="Calibri"/>
          <w:sz w:val="24"/>
        </w:rPr>
      </w:pPr>
      <w:r>
        <w:rPr>
          <w:rFonts w:ascii="Calibri" w:hAnsi="Calibri"/>
          <w:sz w:val="24"/>
        </w:rPr>
        <w:t xml:space="preserve">Wagering is the placing of a bet on racing, sports and other approved events. In Victoria, wagering on horse </w:t>
      </w:r>
      <w:r w:rsidR="007A5621">
        <w:rPr>
          <w:rFonts w:ascii="Calibri" w:hAnsi="Calibri"/>
          <w:sz w:val="24"/>
        </w:rPr>
        <w:t>and greyhound races i</w:t>
      </w:r>
      <w:r w:rsidR="001565C9">
        <w:rPr>
          <w:rFonts w:ascii="Calibri" w:hAnsi="Calibri"/>
          <w:sz w:val="24"/>
        </w:rPr>
        <w:t>s</w:t>
      </w:r>
      <w:r w:rsidR="007A5621">
        <w:rPr>
          <w:rFonts w:ascii="Calibri" w:hAnsi="Calibri"/>
          <w:sz w:val="24"/>
        </w:rPr>
        <w:t xml:space="preserve"> offered on-cours</w:t>
      </w:r>
      <w:r w:rsidR="00A56244">
        <w:rPr>
          <w:rFonts w:ascii="Calibri" w:hAnsi="Calibri"/>
          <w:sz w:val="24"/>
        </w:rPr>
        <w:t xml:space="preserve">e, by bookmakers at a racetrack, and off-course by Tabcorp Wagering and TAB agencies. </w:t>
      </w:r>
    </w:p>
    <w:p w:rsidR="00FD1D11" w:rsidRDefault="00A56244" w:rsidP="00543D40">
      <w:pPr>
        <w:rPr>
          <w:rFonts w:ascii="Calibri" w:hAnsi="Calibri"/>
          <w:sz w:val="24"/>
        </w:rPr>
      </w:pPr>
      <w:r>
        <w:rPr>
          <w:rFonts w:ascii="Calibri" w:hAnsi="Calibri"/>
          <w:sz w:val="24"/>
        </w:rPr>
        <w:t xml:space="preserve">Tabcorp is licensed to operate </w:t>
      </w:r>
      <w:r w:rsidR="003F0EF4">
        <w:rPr>
          <w:rFonts w:ascii="Calibri" w:hAnsi="Calibri"/>
          <w:sz w:val="24"/>
        </w:rPr>
        <w:t>the only on course wagering retail network in Victoria. Tabcorp’s licence also allows it to accept bets online or by telephone.</w:t>
      </w:r>
      <w:r w:rsidR="00BC56E4">
        <w:rPr>
          <w:rFonts w:ascii="Calibri" w:hAnsi="Calibri"/>
          <w:sz w:val="24"/>
        </w:rPr>
        <w:t xml:space="preserve"> </w:t>
      </w:r>
      <w:r w:rsidR="003F0EF4">
        <w:rPr>
          <w:rFonts w:ascii="Calibri" w:hAnsi="Calibri"/>
          <w:sz w:val="24"/>
        </w:rPr>
        <w:t>As of 31 May 2015</w:t>
      </w:r>
      <w:r w:rsidR="00C85FA6">
        <w:rPr>
          <w:rFonts w:ascii="Calibri" w:hAnsi="Calibri"/>
          <w:sz w:val="24"/>
        </w:rPr>
        <w:t>,</w:t>
      </w:r>
      <w:r w:rsidR="003F0EF4">
        <w:rPr>
          <w:rFonts w:ascii="Calibri" w:hAnsi="Calibri"/>
          <w:sz w:val="24"/>
        </w:rPr>
        <w:t xml:space="preserve"> there were 738 TAB outlets in Victoria </w:t>
      </w:r>
      <w:r w:rsidR="007A5621">
        <w:rPr>
          <w:rFonts w:ascii="Calibri" w:hAnsi="Calibri"/>
          <w:sz w:val="24"/>
        </w:rPr>
        <w:t>(taken from Gambling Information Resource Office Information Sheet)</w:t>
      </w:r>
      <w:r w:rsidR="003F0EF4">
        <w:rPr>
          <w:rFonts w:ascii="Calibri" w:hAnsi="Calibri"/>
          <w:sz w:val="24"/>
        </w:rPr>
        <w:t>.</w:t>
      </w:r>
    </w:p>
    <w:p w:rsidR="002D3AE5" w:rsidRDefault="002D3AE5" w:rsidP="002D3AE5">
      <w:pPr>
        <w:rPr>
          <w:sz w:val="24"/>
          <w:szCs w:val="24"/>
        </w:rPr>
      </w:pPr>
      <w:r w:rsidRPr="00AE07D6">
        <w:rPr>
          <w:sz w:val="24"/>
          <w:szCs w:val="24"/>
        </w:rPr>
        <w:t xml:space="preserve">The regulation of wagering is undertaken by the </w:t>
      </w:r>
      <w:r w:rsidR="00051811">
        <w:rPr>
          <w:sz w:val="24"/>
          <w:szCs w:val="24"/>
        </w:rPr>
        <w:t>VCGLR.</w:t>
      </w:r>
      <w:r w:rsidR="00BC56E4">
        <w:rPr>
          <w:sz w:val="24"/>
          <w:szCs w:val="24"/>
        </w:rPr>
        <w:t xml:space="preserve"> </w:t>
      </w:r>
      <w:r w:rsidRPr="00AE07D6">
        <w:rPr>
          <w:sz w:val="24"/>
          <w:szCs w:val="24"/>
        </w:rPr>
        <w:t xml:space="preserve">Increasingly, Victorian clubs and pubs are seeing the combination of EGM gambling with sports betting, which further encourages gambling in these venues. </w:t>
      </w:r>
      <w:r w:rsidR="00BC56E4">
        <w:rPr>
          <w:sz w:val="24"/>
          <w:szCs w:val="24"/>
        </w:rPr>
        <w:t xml:space="preserve"> </w:t>
      </w:r>
      <w:r w:rsidRPr="00AE07D6">
        <w:rPr>
          <w:sz w:val="24"/>
          <w:szCs w:val="24"/>
        </w:rPr>
        <w:t>This increases the atmosphere of gambling in the venue.</w:t>
      </w:r>
    </w:p>
    <w:p w:rsidR="00950775" w:rsidRPr="00950775" w:rsidRDefault="00950775" w:rsidP="00950775">
      <w:pPr>
        <w:rPr>
          <w:rFonts w:ascii="Calibri" w:hAnsi="Calibri"/>
          <w:b/>
          <w:i/>
          <w:sz w:val="24"/>
        </w:rPr>
      </w:pPr>
      <w:r w:rsidRPr="00950775">
        <w:rPr>
          <w:rFonts w:ascii="Calibri" w:hAnsi="Calibri"/>
          <w:b/>
          <w:i/>
          <w:sz w:val="24"/>
        </w:rPr>
        <w:t xml:space="preserve">On line Wagering </w:t>
      </w:r>
    </w:p>
    <w:p w:rsidR="00202E40" w:rsidRPr="00202E40" w:rsidRDefault="00CB34F3" w:rsidP="00202E40">
      <w:pPr>
        <w:rPr>
          <w:rFonts w:ascii="Calibri" w:hAnsi="Calibri"/>
          <w:sz w:val="24"/>
        </w:rPr>
      </w:pPr>
      <w:r>
        <w:rPr>
          <w:rFonts w:ascii="Calibri" w:hAnsi="Calibri"/>
          <w:sz w:val="24"/>
        </w:rPr>
        <w:t>Increasingly, wagering is occurring online</w:t>
      </w:r>
      <w:r w:rsidR="00B11EBD">
        <w:rPr>
          <w:rFonts w:ascii="Calibri" w:hAnsi="Calibri"/>
          <w:sz w:val="24"/>
        </w:rPr>
        <w:t xml:space="preserve"> in Australia.</w:t>
      </w:r>
      <w:r w:rsidR="00BC56E4">
        <w:rPr>
          <w:rFonts w:ascii="Calibri" w:hAnsi="Calibri"/>
          <w:sz w:val="24"/>
        </w:rPr>
        <w:t xml:space="preserve"> </w:t>
      </w:r>
      <w:r w:rsidR="00B11EBD">
        <w:rPr>
          <w:rFonts w:ascii="Calibri" w:hAnsi="Calibri"/>
          <w:sz w:val="24"/>
        </w:rPr>
        <w:t>The h</w:t>
      </w:r>
      <w:r w:rsidR="00B11EBD" w:rsidRPr="00202E40">
        <w:rPr>
          <w:rFonts w:ascii="Calibri" w:hAnsi="Calibri"/>
          <w:sz w:val="24"/>
        </w:rPr>
        <w:t>igh adoption of the Internet among Australians has fuelled the growth of online sports betting</w:t>
      </w:r>
      <w:r w:rsidR="007C0A31" w:rsidRPr="00202E40">
        <w:rPr>
          <w:rFonts w:ascii="Calibri" w:hAnsi="Calibri"/>
          <w:sz w:val="24"/>
        </w:rPr>
        <w:t xml:space="preserve">. </w:t>
      </w:r>
      <w:r w:rsidR="007B548D" w:rsidRPr="00202E40">
        <w:rPr>
          <w:rFonts w:ascii="Calibri" w:hAnsi="Calibri"/>
          <w:sz w:val="24"/>
        </w:rPr>
        <w:t>36 per cent</w:t>
      </w:r>
      <w:r w:rsidR="00950775" w:rsidRPr="00202E40">
        <w:rPr>
          <w:rFonts w:ascii="Calibri" w:hAnsi="Calibri"/>
          <w:sz w:val="24"/>
        </w:rPr>
        <w:t xml:space="preserve"> of national </w:t>
      </w:r>
      <w:r w:rsidR="007B548D" w:rsidRPr="00202E40">
        <w:rPr>
          <w:rFonts w:ascii="Calibri" w:hAnsi="Calibri"/>
          <w:sz w:val="24"/>
        </w:rPr>
        <w:t xml:space="preserve">wagering </w:t>
      </w:r>
      <w:r w:rsidR="00950775" w:rsidRPr="00202E40">
        <w:rPr>
          <w:rFonts w:ascii="Calibri" w:hAnsi="Calibri"/>
          <w:sz w:val="24"/>
        </w:rPr>
        <w:t>revenue is derived from Internet Wagering</w:t>
      </w:r>
      <w:r w:rsidR="00B11EBD" w:rsidRPr="00202E40">
        <w:rPr>
          <w:rFonts w:ascii="Calibri" w:hAnsi="Calibri"/>
          <w:sz w:val="24"/>
        </w:rPr>
        <w:t xml:space="preserve">. </w:t>
      </w:r>
      <w:r w:rsidR="00BA4404" w:rsidRPr="00202E40">
        <w:rPr>
          <w:rFonts w:ascii="Calibri" w:hAnsi="Calibri"/>
          <w:sz w:val="24"/>
        </w:rPr>
        <w:t xml:space="preserve">40 per cent </w:t>
      </w:r>
      <w:r w:rsidR="00162083" w:rsidRPr="00202E40">
        <w:rPr>
          <w:rFonts w:ascii="Calibri" w:hAnsi="Calibri"/>
          <w:sz w:val="24"/>
        </w:rPr>
        <w:t>of Australian wagering (including bet</w:t>
      </w:r>
      <w:r w:rsidR="001565C9">
        <w:rPr>
          <w:rFonts w:ascii="Calibri" w:hAnsi="Calibri"/>
          <w:sz w:val="24"/>
        </w:rPr>
        <w:t>ting on</w:t>
      </w:r>
      <w:r w:rsidR="00162083" w:rsidRPr="00202E40">
        <w:rPr>
          <w:rFonts w:ascii="Calibri" w:hAnsi="Calibri"/>
          <w:sz w:val="24"/>
        </w:rPr>
        <w:t xml:space="preserve"> sports and races) tak</w:t>
      </w:r>
      <w:r w:rsidR="001565C9">
        <w:rPr>
          <w:rFonts w:ascii="Calibri" w:hAnsi="Calibri"/>
          <w:sz w:val="24"/>
        </w:rPr>
        <w:t>es</w:t>
      </w:r>
      <w:r w:rsidR="00162083" w:rsidRPr="00202E40">
        <w:rPr>
          <w:rFonts w:ascii="Calibri" w:hAnsi="Calibri"/>
          <w:sz w:val="24"/>
        </w:rPr>
        <w:t xml:space="preserve"> place online.</w:t>
      </w:r>
      <w:r w:rsidR="00202E40" w:rsidRPr="00202E40">
        <w:rPr>
          <w:rFonts w:ascii="Calibri" w:hAnsi="Calibri"/>
          <w:sz w:val="24"/>
        </w:rPr>
        <w:t xml:space="preserve"> </w:t>
      </w:r>
    </w:p>
    <w:p w:rsidR="00950775" w:rsidRPr="00202E40" w:rsidRDefault="003105D1" w:rsidP="00202E40">
      <w:pPr>
        <w:rPr>
          <w:rFonts w:ascii="Calibri" w:hAnsi="Calibri"/>
          <w:sz w:val="24"/>
        </w:rPr>
      </w:pPr>
      <w:r w:rsidRPr="00202E40">
        <w:rPr>
          <w:rFonts w:ascii="Calibri" w:hAnsi="Calibri"/>
          <w:sz w:val="24"/>
        </w:rPr>
        <w:t>In its</w:t>
      </w:r>
      <w:r w:rsidR="001565C9">
        <w:rPr>
          <w:rFonts w:ascii="Calibri" w:hAnsi="Calibri"/>
          <w:sz w:val="24"/>
        </w:rPr>
        <w:t xml:space="preserve"> </w:t>
      </w:r>
      <w:r w:rsidR="00937AB9">
        <w:rPr>
          <w:rFonts w:ascii="Calibri" w:hAnsi="Calibri"/>
          <w:sz w:val="24"/>
        </w:rPr>
        <w:t xml:space="preserve">2009 </w:t>
      </w:r>
      <w:r w:rsidR="00937AB9" w:rsidRPr="00202E40">
        <w:rPr>
          <w:rFonts w:ascii="Calibri" w:hAnsi="Calibri"/>
          <w:sz w:val="24"/>
        </w:rPr>
        <w:t>Inquiry</w:t>
      </w:r>
      <w:r w:rsidRPr="00202E40">
        <w:rPr>
          <w:rFonts w:ascii="Calibri" w:hAnsi="Calibri"/>
          <w:sz w:val="24"/>
        </w:rPr>
        <w:t xml:space="preserve"> into Gambling</w:t>
      </w:r>
      <w:r w:rsidR="00162083" w:rsidRPr="00202E40">
        <w:rPr>
          <w:rFonts w:ascii="Calibri" w:hAnsi="Calibri"/>
          <w:sz w:val="24"/>
        </w:rPr>
        <w:t xml:space="preserve">, </w:t>
      </w:r>
      <w:r w:rsidRPr="00202E40">
        <w:rPr>
          <w:rFonts w:ascii="Calibri" w:hAnsi="Calibri"/>
          <w:sz w:val="24"/>
        </w:rPr>
        <w:t>t</w:t>
      </w:r>
      <w:r w:rsidR="00B11EBD" w:rsidRPr="00202E40">
        <w:rPr>
          <w:rFonts w:ascii="Calibri" w:hAnsi="Calibri"/>
          <w:sz w:val="24"/>
        </w:rPr>
        <w:t xml:space="preserve">he </w:t>
      </w:r>
      <w:r w:rsidR="00162083" w:rsidRPr="00202E40">
        <w:rPr>
          <w:rFonts w:ascii="Calibri" w:hAnsi="Calibri"/>
          <w:sz w:val="24"/>
        </w:rPr>
        <w:t xml:space="preserve">Productivity Commission </w:t>
      </w:r>
      <w:r w:rsidR="00950775" w:rsidRPr="00202E40">
        <w:rPr>
          <w:rFonts w:ascii="Calibri" w:hAnsi="Calibri"/>
          <w:sz w:val="24"/>
        </w:rPr>
        <w:t xml:space="preserve">estimated there were 424,000 active online wagering </w:t>
      </w:r>
      <w:r w:rsidR="000C4219" w:rsidRPr="00202E40">
        <w:rPr>
          <w:rFonts w:ascii="Calibri" w:hAnsi="Calibri"/>
          <w:sz w:val="24"/>
        </w:rPr>
        <w:t>accounts</w:t>
      </w:r>
      <w:r w:rsidR="00950775" w:rsidRPr="00202E40">
        <w:rPr>
          <w:rFonts w:ascii="Calibri" w:hAnsi="Calibri"/>
          <w:sz w:val="24"/>
        </w:rPr>
        <w:t xml:space="preserve"> and approximately $391 million was spent online in 2008.</w:t>
      </w:r>
      <w:r w:rsidR="00162083" w:rsidRPr="00202E40">
        <w:rPr>
          <w:rFonts w:ascii="Calibri" w:hAnsi="Calibri"/>
          <w:sz w:val="24"/>
        </w:rPr>
        <w:t xml:space="preserve">  </w:t>
      </w:r>
      <w:r w:rsidR="00BC56E4">
        <w:rPr>
          <w:rFonts w:ascii="Calibri" w:hAnsi="Calibri"/>
          <w:sz w:val="24"/>
        </w:rPr>
        <w:t xml:space="preserve"> </w:t>
      </w:r>
      <w:r w:rsidR="00950775" w:rsidRPr="00202E40">
        <w:rPr>
          <w:rFonts w:ascii="Calibri" w:hAnsi="Calibri"/>
          <w:sz w:val="24"/>
        </w:rPr>
        <w:t xml:space="preserve">Estimates in 2014 indicate Australian online wagering is now </w:t>
      </w:r>
      <w:r w:rsidR="001565C9">
        <w:rPr>
          <w:rFonts w:ascii="Calibri" w:hAnsi="Calibri"/>
          <w:sz w:val="24"/>
        </w:rPr>
        <w:t xml:space="preserve">a </w:t>
      </w:r>
      <w:r w:rsidR="00950775" w:rsidRPr="00202E40">
        <w:rPr>
          <w:rFonts w:ascii="Calibri" w:hAnsi="Calibri"/>
          <w:sz w:val="24"/>
        </w:rPr>
        <w:t>$</w:t>
      </w:r>
      <w:r w:rsidR="001565C9">
        <w:rPr>
          <w:rFonts w:ascii="Calibri" w:hAnsi="Calibri"/>
          <w:sz w:val="24"/>
        </w:rPr>
        <w:t>1.6</w:t>
      </w:r>
      <w:r w:rsidR="00950775" w:rsidRPr="00202E40">
        <w:rPr>
          <w:rFonts w:ascii="Calibri" w:hAnsi="Calibri"/>
          <w:sz w:val="24"/>
        </w:rPr>
        <w:t xml:space="preserve"> billion revenue industry</w:t>
      </w:r>
      <w:r w:rsidR="001565C9">
        <w:rPr>
          <w:rFonts w:ascii="Calibri" w:hAnsi="Calibri"/>
          <w:sz w:val="24"/>
        </w:rPr>
        <w:t>, increasingly fuelled by</w:t>
      </w:r>
      <w:r w:rsidR="00950775" w:rsidRPr="00202E40">
        <w:rPr>
          <w:rFonts w:ascii="Calibri" w:hAnsi="Calibri"/>
          <w:sz w:val="24"/>
        </w:rPr>
        <w:t xml:space="preserve"> mobile/tablet adoption and product innovation.</w:t>
      </w:r>
    </w:p>
    <w:p w:rsidR="00950775" w:rsidRDefault="00524FB6" w:rsidP="00202E40">
      <w:pPr>
        <w:rPr>
          <w:rFonts w:ascii="Calibri" w:hAnsi="Calibri"/>
          <w:sz w:val="24"/>
        </w:rPr>
      </w:pPr>
      <w:r w:rsidRPr="00202E40">
        <w:rPr>
          <w:rFonts w:ascii="Calibri" w:hAnsi="Calibri"/>
          <w:sz w:val="24"/>
        </w:rPr>
        <w:t xml:space="preserve">During 2012-13, </w:t>
      </w:r>
      <w:r w:rsidR="00950775" w:rsidRPr="00202E40">
        <w:rPr>
          <w:rFonts w:ascii="Calibri" w:hAnsi="Calibri"/>
          <w:sz w:val="24"/>
        </w:rPr>
        <w:t>sports wagering on the Internet in Australia generated approximately $1.7 billion in turnover</w:t>
      </w:r>
      <w:r w:rsidR="00162083" w:rsidRPr="00202E40">
        <w:rPr>
          <w:rFonts w:ascii="Calibri" w:hAnsi="Calibri"/>
          <w:sz w:val="24"/>
        </w:rPr>
        <w:t xml:space="preserve">. </w:t>
      </w:r>
      <w:r w:rsidR="00206130">
        <w:rPr>
          <w:rFonts w:ascii="Calibri" w:hAnsi="Calibri"/>
          <w:sz w:val="24"/>
        </w:rPr>
        <w:t xml:space="preserve"> </w:t>
      </w:r>
      <w:r w:rsidR="00950775" w:rsidRPr="00202E40">
        <w:rPr>
          <w:rFonts w:ascii="Calibri" w:hAnsi="Calibri"/>
          <w:sz w:val="24"/>
        </w:rPr>
        <w:t>The majority</w:t>
      </w:r>
      <w:r w:rsidR="00DB41DB">
        <w:rPr>
          <w:rFonts w:ascii="Calibri" w:hAnsi="Calibri"/>
          <w:sz w:val="24"/>
        </w:rPr>
        <w:t xml:space="preserve"> of players lost money overall.</w:t>
      </w:r>
      <w:r w:rsidR="00950775" w:rsidRPr="00202E40">
        <w:rPr>
          <w:rFonts w:ascii="Calibri" w:hAnsi="Calibri"/>
          <w:sz w:val="24"/>
        </w:rPr>
        <w:t xml:space="preserve"> </w:t>
      </w:r>
      <w:r w:rsidR="00206130">
        <w:rPr>
          <w:rFonts w:ascii="Calibri" w:hAnsi="Calibri"/>
          <w:sz w:val="24"/>
        </w:rPr>
        <w:t xml:space="preserve"> </w:t>
      </w:r>
      <w:r w:rsidR="009E5BA4">
        <w:rPr>
          <w:rFonts w:ascii="Calibri" w:hAnsi="Calibri"/>
          <w:sz w:val="24"/>
        </w:rPr>
        <w:t>On average, players lost 34.1 per cent</w:t>
      </w:r>
      <w:r w:rsidR="00950775" w:rsidRPr="00202E40">
        <w:rPr>
          <w:rFonts w:ascii="Calibri" w:hAnsi="Calibri"/>
          <w:sz w:val="24"/>
        </w:rPr>
        <w:t xml:space="preserve"> of the total amount wagered.</w:t>
      </w:r>
      <w:r w:rsidR="00BD1FC7" w:rsidRPr="00202E40">
        <w:rPr>
          <w:rFonts w:ascii="Calibri" w:hAnsi="Calibri"/>
          <w:sz w:val="24"/>
        </w:rPr>
        <w:t xml:space="preserve"> </w:t>
      </w:r>
      <w:r w:rsidR="00206130">
        <w:rPr>
          <w:rFonts w:ascii="Calibri" w:hAnsi="Calibri"/>
          <w:sz w:val="24"/>
        </w:rPr>
        <w:t xml:space="preserve"> </w:t>
      </w:r>
      <w:r w:rsidR="00950775" w:rsidRPr="00202E40">
        <w:rPr>
          <w:rFonts w:ascii="Calibri" w:hAnsi="Calibri"/>
          <w:sz w:val="24"/>
        </w:rPr>
        <w:t>Most players appeared to bet moderate amounts with average bet sizes ranging from $14.05 to $18.02.</w:t>
      </w:r>
    </w:p>
    <w:p w:rsidR="0018073C" w:rsidRPr="00202E40" w:rsidRDefault="0018073C" w:rsidP="00202E40">
      <w:pPr>
        <w:rPr>
          <w:rFonts w:ascii="Calibri" w:hAnsi="Calibri"/>
          <w:sz w:val="24"/>
        </w:rPr>
      </w:pPr>
      <w:r>
        <w:rPr>
          <w:rFonts w:ascii="Calibri" w:hAnsi="Calibri"/>
          <w:sz w:val="24"/>
        </w:rPr>
        <w:t xml:space="preserve">Social media </w:t>
      </w:r>
      <w:r w:rsidR="00B068D7">
        <w:rPr>
          <w:rFonts w:ascii="Calibri" w:hAnsi="Calibri"/>
          <w:sz w:val="24"/>
        </w:rPr>
        <w:t xml:space="preserve">may </w:t>
      </w:r>
      <w:r>
        <w:rPr>
          <w:rFonts w:ascii="Calibri" w:hAnsi="Calibri"/>
          <w:sz w:val="24"/>
        </w:rPr>
        <w:t xml:space="preserve">also play a role in </w:t>
      </w:r>
      <w:r w:rsidR="00DE776E">
        <w:rPr>
          <w:rFonts w:ascii="Calibri" w:hAnsi="Calibri"/>
          <w:sz w:val="24"/>
        </w:rPr>
        <w:t xml:space="preserve">encouraging </w:t>
      </w:r>
      <w:r>
        <w:rPr>
          <w:rFonts w:ascii="Calibri" w:hAnsi="Calibri"/>
          <w:sz w:val="24"/>
        </w:rPr>
        <w:t>online gambling. The report, the Use of Social Media in Gambling by Gainsbury et al</w:t>
      </w:r>
      <w:r w:rsidR="00DE776E">
        <w:rPr>
          <w:rFonts w:ascii="Calibri" w:hAnsi="Calibri"/>
          <w:sz w:val="24"/>
        </w:rPr>
        <w:t>,</w:t>
      </w:r>
      <w:r>
        <w:rPr>
          <w:rFonts w:ascii="Calibri" w:hAnsi="Calibri"/>
          <w:sz w:val="24"/>
        </w:rPr>
        <w:t xml:space="preserve"> found that 34 per cent of adolescents who were at some risk of gambling problems reported social media use by gambling operators had increases their problems with gambling.</w:t>
      </w:r>
    </w:p>
    <w:p w:rsidR="00936CAD" w:rsidRDefault="009E272F" w:rsidP="00202E40">
      <w:pPr>
        <w:rPr>
          <w:rFonts w:ascii="Calibri" w:hAnsi="Calibri"/>
          <w:sz w:val="24"/>
        </w:rPr>
      </w:pPr>
      <w:r>
        <w:rPr>
          <w:rFonts w:ascii="Calibri" w:hAnsi="Calibri"/>
          <w:sz w:val="24"/>
        </w:rPr>
        <w:t>In Victoria</w:t>
      </w:r>
      <w:r w:rsidR="00C21D3D">
        <w:rPr>
          <w:rFonts w:ascii="Calibri" w:hAnsi="Calibri"/>
          <w:sz w:val="24"/>
        </w:rPr>
        <w:t xml:space="preserve">, sports betting is legal on any event where approval has been given by the VCGLR. Sports betting can be offered by Tabcorp or other sports betting companies licensed in an Australian jurisdiction. </w:t>
      </w:r>
    </w:p>
    <w:p w:rsidR="00202E40" w:rsidRDefault="007B1A9C" w:rsidP="00202E40">
      <w:pPr>
        <w:rPr>
          <w:rFonts w:ascii="Calibri" w:hAnsi="Calibri"/>
          <w:sz w:val="24"/>
        </w:rPr>
      </w:pPr>
      <w:r>
        <w:rPr>
          <w:rFonts w:ascii="Calibri" w:hAnsi="Calibri"/>
          <w:sz w:val="24"/>
        </w:rPr>
        <w:t xml:space="preserve">The VCGLR must approve sports for both fixed odds and totalisator betting. </w:t>
      </w:r>
      <w:r w:rsidR="00B068D7">
        <w:rPr>
          <w:rFonts w:ascii="Calibri" w:hAnsi="Calibri"/>
          <w:sz w:val="24"/>
        </w:rPr>
        <w:t xml:space="preserve"> </w:t>
      </w:r>
      <w:r w:rsidR="001565C9">
        <w:rPr>
          <w:rFonts w:ascii="Calibri" w:hAnsi="Calibri"/>
          <w:sz w:val="24"/>
        </w:rPr>
        <w:t xml:space="preserve">It is important to note that on line bookmakers registered or licensed in other states and territories are permitted to offer wagering services to any person regardless of their state of residence. </w:t>
      </w:r>
      <w:r w:rsidR="00206130">
        <w:rPr>
          <w:rFonts w:ascii="Calibri" w:hAnsi="Calibri"/>
          <w:sz w:val="24"/>
        </w:rPr>
        <w:t xml:space="preserve"> </w:t>
      </w:r>
      <w:r w:rsidR="001565C9">
        <w:rPr>
          <w:rFonts w:ascii="Calibri" w:hAnsi="Calibri"/>
          <w:sz w:val="24"/>
        </w:rPr>
        <w:t>Many on line bookmakers lawfully offer wagering services to Victorians including resident</w:t>
      </w:r>
      <w:r w:rsidR="000C4219">
        <w:rPr>
          <w:rFonts w:ascii="Calibri" w:hAnsi="Calibri"/>
          <w:sz w:val="24"/>
        </w:rPr>
        <w:t>s</w:t>
      </w:r>
      <w:r w:rsidR="001565C9">
        <w:rPr>
          <w:rFonts w:ascii="Calibri" w:hAnsi="Calibri"/>
          <w:sz w:val="24"/>
        </w:rPr>
        <w:t xml:space="preserve"> in</w:t>
      </w:r>
      <w:r w:rsidR="00206130">
        <w:rPr>
          <w:rFonts w:ascii="Calibri" w:hAnsi="Calibri"/>
          <w:sz w:val="24"/>
        </w:rPr>
        <w:t xml:space="preserve"> the City of</w:t>
      </w:r>
      <w:r w:rsidR="001565C9">
        <w:rPr>
          <w:rFonts w:ascii="Calibri" w:hAnsi="Calibri"/>
          <w:sz w:val="24"/>
        </w:rPr>
        <w:t xml:space="preserve"> Maribyrnong.</w:t>
      </w:r>
    </w:p>
    <w:p w:rsidR="008B5489" w:rsidRDefault="008B5489" w:rsidP="00543D40">
      <w:pPr>
        <w:rPr>
          <w:rFonts w:ascii="Calibri" w:hAnsi="Calibri"/>
          <w:b/>
          <w:i/>
          <w:sz w:val="24"/>
        </w:rPr>
      </w:pPr>
      <w:r w:rsidRPr="008B5489">
        <w:rPr>
          <w:rFonts w:ascii="Calibri" w:hAnsi="Calibri"/>
          <w:b/>
          <w:i/>
          <w:sz w:val="24"/>
        </w:rPr>
        <w:t>Lotteries</w:t>
      </w:r>
      <w:r w:rsidR="00243916">
        <w:rPr>
          <w:rFonts w:ascii="Calibri" w:hAnsi="Calibri"/>
          <w:b/>
          <w:i/>
          <w:sz w:val="24"/>
        </w:rPr>
        <w:t xml:space="preserve"> </w:t>
      </w:r>
    </w:p>
    <w:p w:rsidR="00507352" w:rsidRPr="00507352" w:rsidRDefault="00507352" w:rsidP="00543D40">
      <w:pPr>
        <w:rPr>
          <w:rFonts w:ascii="Calibri" w:hAnsi="Calibri"/>
          <w:sz w:val="24"/>
        </w:rPr>
      </w:pPr>
      <w:r>
        <w:rPr>
          <w:rFonts w:ascii="Calibri" w:hAnsi="Calibri"/>
          <w:sz w:val="24"/>
        </w:rPr>
        <w:t>A lottery is a rapid draw game where a set of numbers is drawn through a random number generator.</w:t>
      </w:r>
      <w:r w:rsidR="00FC33DA">
        <w:rPr>
          <w:rFonts w:ascii="Calibri" w:hAnsi="Calibri"/>
          <w:sz w:val="24"/>
        </w:rPr>
        <w:t xml:space="preserve"> </w:t>
      </w:r>
      <w:r>
        <w:rPr>
          <w:rFonts w:ascii="Calibri" w:hAnsi="Calibri"/>
          <w:sz w:val="24"/>
        </w:rPr>
        <w:t xml:space="preserve"> The only public lottery licence in Victoria is held by Tattersall’s Sweeps Pty Ltd. Tattersall’s is authorised to offer Tattslotto, Oz Lotto, Powerball, Super 66, the Pools, Monday and Wednesday Lotto, Lucky Lotteries and instant scratchies. </w:t>
      </w:r>
    </w:p>
    <w:p w:rsidR="008B5489" w:rsidRDefault="00507352" w:rsidP="00543D40">
      <w:pPr>
        <w:rPr>
          <w:rFonts w:ascii="Calibri" w:hAnsi="Calibri"/>
          <w:b/>
          <w:i/>
          <w:sz w:val="24"/>
        </w:rPr>
      </w:pPr>
      <w:r>
        <w:rPr>
          <w:rFonts w:ascii="Calibri" w:hAnsi="Calibri"/>
          <w:b/>
          <w:i/>
          <w:sz w:val="24"/>
        </w:rPr>
        <w:t>Keno</w:t>
      </w:r>
    </w:p>
    <w:p w:rsidR="00507352" w:rsidRDefault="00507352" w:rsidP="00543D40">
      <w:pPr>
        <w:rPr>
          <w:rFonts w:ascii="Calibri" w:hAnsi="Calibri"/>
          <w:sz w:val="24"/>
        </w:rPr>
      </w:pPr>
      <w:r>
        <w:rPr>
          <w:rFonts w:ascii="Calibri" w:hAnsi="Calibri"/>
          <w:sz w:val="24"/>
        </w:rPr>
        <w:t xml:space="preserve">Keno is a rapid-draw game in which a set of numbers is drawn through a random number generator from a pool of numbers. The numbers are then posted electronically in venues. In Victoria, Keno can be offered by Tabcorp Investments No. 5 Pty Ltd. </w:t>
      </w:r>
      <w:r w:rsidR="00FC33DA">
        <w:rPr>
          <w:rFonts w:ascii="Calibri" w:hAnsi="Calibri"/>
          <w:sz w:val="24"/>
        </w:rPr>
        <w:t xml:space="preserve"> </w:t>
      </w:r>
      <w:r>
        <w:rPr>
          <w:rFonts w:ascii="Calibri" w:hAnsi="Calibri"/>
          <w:sz w:val="24"/>
        </w:rPr>
        <w:t>Tabcorp is authorised to provide Keno in eligible hotels, clubs and TAB agencies across Victoria under a 10 year licence, which ends in 2022.</w:t>
      </w:r>
    </w:p>
    <w:p w:rsidR="001565C9" w:rsidRDefault="00507352" w:rsidP="00543D40">
      <w:pPr>
        <w:rPr>
          <w:rFonts w:ascii="Calibri" w:hAnsi="Calibri"/>
          <w:sz w:val="24"/>
        </w:rPr>
      </w:pPr>
      <w:r>
        <w:rPr>
          <w:rFonts w:ascii="Calibri" w:hAnsi="Calibri"/>
          <w:sz w:val="24"/>
        </w:rPr>
        <w:t>Unlike EGMs, Keno is not restrict</w:t>
      </w:r>
      <w:r w:rsidR="00370255">
        <w:rPr>
          <w:rFonts w:ascii="Calibri" w:hAnsi="Calibri"/>
          <w:sz w:val="24"/>
        </w:rPr>
        <w:t>ed</w:t>
      </w:r>
      <w:r>
        <w:rPr>
          <w:rFonts w:ascii="Calibri" w:hAnsi="Calibri"/>
          <w:sz w:val="24"/>
        </w:rPr>
        <w:t xml:space="preserve"> to the gam</w:t>
      </w:r>
      <w:r w:rsidR="00892A8C">
        <w:rPr>
          <w:rFonts w:ascii="Calibri" w:hAnsi="Calibri"/>
          <w:sz w:val="24"/>
        </w:rPr>
        <w:t>ing areas of a hotel or club</w:t>
      </w:r>
      <w:r w:rsidR="001565C9">
        <w:rPr>
          <w:rFonts w:ascii="Calibri" w:hAnsi="Calibri"/>
          <w:sz w:val="24"/>
        </w:rPr>
        <w:t>.</w:t>
      </w:r>
      <w:r w:rsidR="00FC33DA">
        <w:rPr>
          <w:rFonts w:ascii="Calibri" w:hAnsi="Calibri"/>
          <w:sz w:val="24"/>
        </w:rPr>
        <w:t xml:space="preserve"> </w:t>
      </w:r>
      <w:r w:rsidR="00892A8C">
        <w:rPr>
          <w:rFonts w:ascii="Calibri" w:hAnsi="Calibri"/>
          <w:sz w:val="24"/>
        </w:rPr>
        <w:t xml:space="preserve"> </w:t>
      </w:r>
      <w:r w:rsidR="001565C9">
        <w:rPr>
          <w:rFonts w:ascii="Calibri" w:hAnsi="Calibri"/>
          <w:sz w:val="24"/>
        </w:rPr>
        <w:t xml:space="preserve">As </w:t>
      </w:r>
      <w:r w:rsidR="00892A8C">
        <w:rPr>
          <w:rFonts w:ascii="Calibri" w:hAnsi="Calibri"/>
          <w:sz w:val="24"/>
        </w:rPr>
        <w:t>of</w:t>
      </w:r>
      <w:r>
        <w:rPr>
          <w:rFonts w:ascii="Calibri" w:hAnsi="Calibri"/>
          <w:sz w:val="24"/>
        </w:rPr>
        <w:t xml:space="preserve"> 31 May 2015, there were 670 Keno outlets in Victoria. </w:t>
      </w:r>
    </w:p>
    <w:p w:rsidR="00D7659F" w:rsidRDefault="00D7659F" w:rsidP="00543D40">
      <w:pPr>
        <w:rPr>
          <w:rFonts w:ascii="Calibri" w:hAnsi="Calibri"/>
          <w:b/>
          <w:i/>
          <w:sz w:val="24"/>
        </w:rPr>
      </w:pPr>
      <w:r>
        <w:rPr>
          <w:rFonts w:ascii="Calibri" w:hAnsi="Calibri"/>
          <w:b/>
          <w:i/>
          <w:sz w:val="24"/>
        </w:rPr>
        <w:t>Bingo</w:t>
      </w:r>
    </w:p>
    <w:p w:rsidR="00D7659F" w:rsidRDefault="00D7659F" w:rsidP="00543D40">
      <w:pPr>
        <w:rPr>
          <w:rFonts w:ascii="Calibri" w:hAnsi="Calibri"/>
          <w:sz w:val="24"/>
        </w:rPr>
      </w:pPr>
      <w:r>
        <w:rPr>
          <w:rFonts w:ascii="Calibri" w:hAnsi="Calibri"/>
          <w:sz w:val="24"/>
        </w:rPr>
        <w:t xml:space="preserve">Bingo is a form of minor gaming. </w:t>
      </w:r>
      <w:r w:rsidR="00FC33DA">
        <w:rPr>
          <w:rFonts w:ascii="Calibri" w:hAnsi="Calibri"/>
          <w:sz w:val="24"/>
        </w:rPr>
        <w:t xml:space="preserve"> </w:t>
      </w:r>
      <w:r>
        <w:rPr>
          <w:rFonts w:ascii="Calibri" w:hAnsi="Calibri"/>
          <w:sz w:val="24"/>
        </w:rPr>
        <w:t>Players receive tickets with randomly numbered squares then players mark off the numbers as they are randomly drawn and announced.</w:t>
      </w:r>
      <w:r w:rsidR="00FC33DA">
        <w:rPr>
          <w:rFonts w:ascii="Calibri" w:hAnsi="Calibri"/>
          <w:sz w:val="24"/>
        </w:rPr>
        <w:t xml:space="preserve"> </w:t>
      </w:r>
      <w:r>
        <w:rPr>
          <w:rFonts w:ascii="Calibri" w:hAnsi="Calibri"/>
          <w:sz w:val="24"/>
        </w:rPr>
        <w:t xml:space="preserve"> To win, a player must be the first to mark off all numbers on their </w:t>
      </w:r>
      <w:r w:rsidR="007251D9">
        <w:rPr>
          <w:rFonts w:ascii="Calibri" w:hAnsi="Calibri"/>
          <w:sz w:val="24"/>
        </w:rPr>
        <w:t>ticket</w:t>
      </w:r>
      <w:r>
        <w:rPr>
          <w:rFonts w:ascii="Calibri" w:hAnsi="Calibri"/>
          <w:sz w:val="24"/>
        </w:rPr>
        <w:t xml:space="preserve"> and call ‘line’, ‘pattern’ or ‘bingo’. </w:t>
      </w:r>
    </w:p>
    <w:p w:rsidR="00C8799E" w:rsidRDefault="00C8799E" w:rsidP="00543D40">
      <w:pPr>
        <w:rPr>
          <w:rFonts w:ascii="Calibri" w:hAnsi="Calibri"/>
          <w:sz w:val="24"/>
        </w:rPr>
      </w:pPr>
      <w:r>
        <w:rPr>
          <w:rFonts w:ascii="Calibri" w:hAnsi="Calibri"/>
          <w:sz w:val="24"/>
        </w:rPr>
        <w:t xml:space="preserve">Bingo may only be conducted for fundraising purposes by organisations registered by the </w:t>
      </w:r>
      <w:r w:rsidR="00644E79">
        <w:rPr>
          <w:rFonts w:ascii="Calibri" w:hAnsi="Calibri"/>
          <w:sz w:val="24"/>
        </w:rPr>
        <w:t xml:space="preserve">VCGLR </w:t>
      </w:r>
      <w:r>
        <w:rPr>
          <w:rFonts w:ascii="Calibri" w:hAnsi="Calibri"/>
          <w:sz w:val="24"/>
        </w:rPr>
        <w:t xml:space="preserve">as a community or charitable organisation. </w:t>
      </w:r>
      <w:r w:rsidR="00FC33DA">
        <w:rPr>
          <w:rFonts w:ascii="Calibri" w:hAnsi="Calibri"/>
          <w:sz w:val="24"/>
        </w:rPr>
        <w:t xml:space="preserve"> </w:t>
      </w:r>
      <w:r w:rsidR="00B17A3C">
        <w:rPr>
          <w:rFonts w:ascii="Calibri" w:hAnsi="Calibri"/>
          <w:sz w:val="24"/>
        </w:rPr>
        <w:t>A licence</w:t>
      </w:r>
      <w:r w:rsidR="001565C9">
        <w:rPr>
          <w:rFonts w:ascii="Calibri" w:hAnsi="Calibri"/>
          <w:sz w:val="24"/>
        </w:rPr>
        <w:t>d</w:t>
      </w:r>
      <w:r w:rsidR="00B17A3C">
        <w:rPr>
          <w:rFonts w:ascii="Calibri" w:hAnsi="Calibri"/>
          <w:sz w:val="24"/>
        </w:rPr>
        <w:t xml:space="preserve"> bingo centre operator can also run bingo sessions on behalf of a declared community or charitable organisation. </w:t>
      </w:r>
      <w:r w:rsidR="00476CBA">
        <w:rPr>
          <w:rFonts w:ascii="Calibri" w:hAnsi="Calibri"/>
          <w:sz w:val="24"/>
        </w:rPr>
        <w:t xml:space="preserve">Bingo centre operators must be licensed by the VCGLR. </w:t>
      </w:r>
    </w:p>
    <w:p w:rsidR="001F5FA0" w:rsidRDefault="00A13A89">
      <w:pPr>
        <w:rPr>
          <w:b/>
          <w:i/>
          <w:sz w:val="24"/>
          <w:szCs w:val="24"/>
        </w:rPr>
      </w:pPr>
      <w:r>
        <w:rPr>
          <w:b/>
          <w:i/>
          <w:sz w:val="24"/>
          <w:szCs w:val="24"/>
        </w:rPr>
        <w:t>Losses from Gambling in Victoria</w:t>
      </w:r>
    </w:p>
    <w:p w:rsidR="002E561F" w:rsidRPr="002E561F" w:rsidRDefault="0015403A">
      <w:pPr>
        <w:rPr>
          <w:sz w:val="24"/>
          <w:szCs w:val="24"/>
        </w:rPr>
      </w:pPr>
      <w:r>
        <w:rPr>
          <w:sz w:val="24"/>
          <w:szCs w:val="24"/>
        </w:rPr>
        <w:t xml:space="preserve">Losses from gambling in Victoria were </w:t>
      </w:r>
      <w:r w:rsidR="00115F96">
        <w:rPr>
          <w:sz w:val="24"/>
          <w:szCs w:val="24"/>
        </w:rPr>
        <w:t>$5.4 billion in 2013-14.</w:t>
      </w:r>
      <w:r w:rsidR="00FC33DA">
        <w:rPr>
          <w:sz w:val="24"/>
          <w:szCs w:val="24"/>
        </w:rPr>
        <w:t xml:space="preserve"> </w:t>
      </w:r>
      <w:r w:rsidR="00115F96">
        <w:rPr>
          <w:sz w:val="24"/>
          <w:szCs w:val="24"/>
        </w:rPr>
        <w:t xml:space="preserve"> The following chart </w:t>
      </w:r>
      <w:r w:rsidR="001565C9">
        <w:rPr>
          <w:sz w:val="24"/>
          <w:szCs w:val="24"/>
        </w:rPr>
        <w:t>summarises</w:t>
      </w:r>
      <w:r w:rsidR="00115F96">
        <w:rPr>
          <w:sz w:val="24"/>
          <w:szCs w:val="24"/>
        </w:rPr>
        <w:t xml:space="preserve"> </w:t>
      </w:r>
      <w:r w:rsidR="0087756A">
        <w:rPr>
          <w:sz w:val="24"/>
          <w:szCs w:val="24"/>
        </w:rPr>
        <w:t xml:space="preserve">these losses across the different types of gambling </w:t>
      </w:r>
      <w:r w:rsidR="003F0179">
        <w:rPr>
          <w:sz w:val="24"/>
          <w:szCs w:val="24"/>
        </w:rPr>
        <w:t xml:space="preserve">licensed </w:t>
      </w:r>
      <w:r w:rsidR="0087756A">
        <w:rPr>
          <w:sz w:val="24"/>
          <w:szCs w:val="24"/>
        </w:rPr>
        <w:t>in Victoria</w:t>
      </w:r>
      <w:r w:rsidR="005F0C8E">
        <w:rPr>
          <w:sz w:val="24"/>
          <w:szCs w:val="24"/>
        </w:rPr>
        <w:t xml:space="preserve">. </w:t>
      </w:r>
    </w:p>
    <w:p w:rsidR="00C473BF" w:rsidRDefault="00C473BF">
      <w:pPr>
        <w:rPr>
          <w:b/>
          <w:sz w:val="24"/>
          <w:szCs w:val="24"/>
        </w:rPr>
      </w:pPr>
      <w:r>
        <w:rPr>
          <w:noProof/>
        </w:rPr>
        <w:drawing>
          <wp:inline distT="0" distB="0" distL="0" distR="0">
            <wp:extent cx="5731510" cy="3759773"/>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3BF" w:rsidRDefault="00C473BF" w:rsidP="00C473BF">
      <w:pPr>
        <w:rPr>
          <w:rFonts w:ascii="Calibri" w:hAnsi="Calibri"/>
          <w:b/>
          <w:sz w:val="20"/>
          <w:szCs w:val="20"/>
        </w:rPr>
      </w:pPr>
      <w:r>
        <w:rPr>
          <w:rFonts w:ascii="Calibri" w:hAnsi="Calibri"/>
          <w:b/>
          <w:sz w:val="20"/>
          <w:szCs w:val="20"/>
        </w:rPr>
        <w:t>(Source: Appe</w:t>
      </w:r>
      <w:r w:rsidR="00592C07">
        <w:rPr>
          <w:rFonts w:ascii="Calibri" w:hAnsi="Calibri"/>
          <w:b/>
          <w:sz w:val="20"/>
          <w:szCs w:val="20"/>
        </w:rPr>
        <w:t>ndix 15, VCGR Annual Report 2013-14</w:t>
      </w:r>
      <w:r>
        <w:rPr>
          <w:rFonts w:ascii="Calibri" w:hAnsi="Calibri"/>
          <w:b/>
          <w:sz w:val="20"/>
          <w:szCs w:val="20"/>
        </w:rPr>
        <w:t>)</w:t>
      </w:r>
    </w:p>
    <w:p w:rsidR="002E561F" w:rsidRPr="0087756A" w:rsidRDefault="0087756A" w:rsidP="00C473BF">
      <w:pPr>
        <w:rPr>
          <w:rFonts w:ascii="Calibri" w:hAnsi="Calibri"/>
          <w:sz w:val="24"/>
          <w:szCs w:val="24"/>
        </w:rPr>
      </w:pPr>
      <w:r w:rsidRPr="0087756A">
        <w:rPr>
          <w:rFonts w:ascii="Calibri" w:hAnsi="Calibri"/>
          <w:sz w:val="24"/>
          <w:szCs w:val="24"/>
        </w:rPr>
        <w:t xml:space="preserve">As a percentage the legal gambling losses </w:t>
      </w:r>
      <w:r w:rsidR="003C43B0">
        <w:rPr>
          <w:rFonts w:ascii="Calibri" w:hAnsi="Calibri"/>
          <w:sz w:val="24"/>
          <w:szCs w:val="24"/>
        </w:rPr>
        <w:t>the breakdown of losses is losses in Victoria were as follows:</w:t>
      </w:r>
    </w:p>
    <w:p w:rsidR="00C473BF" w:rsidRPr="00ED119B" w:rsidRDefault="00C473BF" w:rsidP="00C473BF">
      <w:pPr>
        <w:numPr>
          <w:ilvl w:val="0"/>
          <w:numId w:val="11"/>
        </w:numPr>
        <w:spacing w:before="120" w:after="0" w:line="240" w:lineRule="auto"/>
        <w:rPr>
          <w:rFonts w:ascii="Calibri" w:hAnsi="Calibri"/>
          <w:sz w:val="24"/>
          <w:szCs w:val="24"/>
        </w:rPr>
      </w:pPr>
      <w:r w:rsidRPr="00ED119B">
        <w:rPr>
          <w:rFonts w:ascii="Calibri" w:hAnsi="Calibri"/>
          <w:sz w:val="24"/>
          <w:szCs w:val="24"/>
        </w:rPr>
        <w:t xml:space="preserve">EGMs outside </w:t>
      </w:r>
      <w:r w:rsidR="0025378E">
        <w:rPr>
          <w:rFonts w:ascii="Calibri" w:hAnsi="Calibri"/>
          <w:sz w:val="24"/>
          <w:szCs w:val="24"/>
        </w:rPr>
        <w:t xml:space="preserve">Crown Casino accounted for 46 </w:t>
      </w:r>
      <w:r w:rsidRPr="00ED119B">
        <w:rPr>
          <w:rFonts w:ascii="Calibri" w:hAnsi="Calibri"/>
          <w:sz w:val="24"/>
          <w:szCs w:val="24"/>
        </w:rPr>
        <w:t xml:space="preserve">per cent of gambling losses in Victoria in </w:t>
      </w:r>
      <w:r w:rsidR="002733BB">
        <w:rPr>
          <w:rFonts w:ascii="Calibri" w:hAnsi="Calibri"/>
          <w:sz w:val="24"/>
          <w:szCs w:val="24"/>
        </w:rPr>
        <w:t>2014-15</w:t>
      </w:r>
      <w:r w:rsidR="00340AA1">
        <w:rPr>
          <w:rFonts w:ascii="Calibri" w:hAnsi="Calibri"/>
          <w:sz w:val="24"/>
          <w:szCs w:val="24"/>
        </w:rPr>
        <w:t>.</w:t>
      </w:r>
    </w:p>
    <w:p w:rsidR="00C473BF" w:rsidRPr="00ED119B" w:rsidRDefault="0025378E" w:rsidP="00C473BF">
      <w:pPr>
        <w:numPr>
          <w:ilvl w:val="0"/>
          <w:numId w:val="11"/>
        </w:numPr>
        <w:spacing w:before="120" w:after="0" w:line="240" w:lineRule="auto"/>
        <w:rPr>
          <w:rFonts w:ascii="Calibri" w:hAnsi="Calibri"/>
          <w:sz w:val="24"/>
          <w:szCs w:val="24"/>
        </w:rPr>
      </w:pPr>
      <w:r>
        <w:rPr>
          <w:rFonts w:ascii="Calibri" w:hAnsi="Calibri"/>
          <w:sz w:val="24"/>
          <w:szCs w:val="24"/>
        </w:rPr>
        <w:t>Crown Casino represents 29</w:t>
      </w:r>
      <w:r w:rsidR="00C473BF" w:rsidRPr="00ED119B">
        <w:rPr>
          <w:rFonts w:ascii="Calibri" w:hAnsi="Calibri"/>
          <w:sz w:val="24"/>
          <w:szCs w:val="24"/>
        </w:rPr>
        <w:t xml:space="preserve"> per cent of losses which is based on losses for table games and EGMs. Crown Casino has </w:t>
      </w:r>
      <w:r w:rsidR="003F0179">
        <w:rPr>
          <w:rFonts w:ascii="Calibri" w:hAnsi="Calibri"/>
          <w:sz w:val="24"/>
          <w:szCs w:val="24"/>
        </w:rPr>
        <w:t xml:space="preserve">over </w:t>
      </w:r>
      <w:r w:rsidR="00C473BF" w:rsidRPr="00ED119B">
        <w:rPr>
          <w:rFonts w:ascii="Calibri" w:hAnsi="Calibri"/>
          <w:sz w:val="24"/>
          <w:szCs w:val="24"/>
        </w:rPr>
        <w:t>2</w:t>
      </w:r>
      <w:r w:rsidR="003F0179">
        <w:rPr>
          <w:rFonts w:ascii="Calibri" w:hAnsi="Calibri"/>
          <w:sz w:val="24"/>
          <w:szCs w:val="24"/>
        </w:rPr>
        <w:t>,</w:t>
      </w:r>
      <w:r w:rsidR="00C473BF" w:rsidRPr="00ED119B">
        <w:rPr>
          <w:rFonts w:ascii="Calibri" w:hAnsi="Calibri"/>
          <w:sz w:val="24"/>
          <w:szCs w:val="24"/>
        </w:rPr>
        <w:t xml:space="preserve">500 EGMs and </w:t>
      </w:r>
      <w:r w:rsidR="003F0179">
        <w:rPr>
          <w:rFonts w:ascii="Calibri" w:hAnsi="Calibri"/>
          <w:sz w:val="24"/>
          <w:szCs w:val="24"/>
        </w:rPr>
        <w:t>400</w:t>
      </w:r>
      <w:r w:rsidR="003F0179" w:rsidRPr="00ED119B">
        <w:rPr>
          <w:rFonts w:ascii="Calibri" w:hAnsi="Calibri"/>
          <w:sz w:val="24"/>
          <w:szCs w:val="24"/>
        </w:rPr>
        <w:t xml:space="preserve"> </w:t>
      </w:r>
      <w:r w:rsidR="00C473BF" w:rsidRPr="00ED119B">
        <w:rPr>
          <w:rFonts w:ascii="Calibri" w:hAnsi="Calibri"/>
          <w:sz w:val="24"/>
          <w:szCs w:val="24"/>
        </w:rPr>
        <w:t>table games</w:t>
      </w:r>
      <w:r w:rsidR="003F0179">
        <w:rPr>
          <w:rFonts w:ascii="Calibri" w:hAnsi="Calibri"/>
          <w:sz w:val="24"/>
          <w:szCs w:val="24"/>
        </w:rPr>
        <w:t>, as well as 100 poker tables</w:t>
      </w:r>
      <w:r w:rsidR="00C473BF" w:rsidRPr="00ED119B">
        <w:rPr>
          <w:rFonts w:ascii="Calibri" w:hAnsi="Calibri"/>
          <w:sz w:val="24"/>
          <w:szCs w:val="24"/>
        </w:rPr>
        <w:t xml:space="preserve">. </w:t>
      </w:r>
      <w:r w:rsidR="00FC33DA">
        <w:rPr>
          <w:rFonts w:ascii="Calibri" w:hAnsi="Calibri"/>
          <w:sz w:val="24"/>
          <w:szCs w:val="24"/>
        </w:rPr>
        <w:t xml:space="preserve"> </w:t>
      </w:r>
      <w:r w:rsidR="00C473BF" w:rsidRPr="00ED119B">
        <w:rPr>
          <w:rFonts w:ascii="Calibri" w:hAnsi="Calibri"/>
          <w:sz w:val="24"/>
          <w:szCs w:val="24"/>
        </w:rPr>
        <w:t xml:space="preserve">Figures are not available for the breakdown of losses from Crown. </w:t>
      </w:r>
      <w:r w:rsidR="00644E79">
        <w:rPr>
          <w:rFonts w:ascii="Calibri" w:hAnsi="Calibri"/>
          <w:sz w:val="24"/>
          <w:szCs w:val="24"/>
        </w:rPr>
        <w:t xml:space="preserve"> </w:t>
      </w:r>
      <w:r w:rsidR="003F0179">
        <w:rPr>
          <w:rFonts w:ascii="Calibri" w:hAnsi="Calibri"/>
          <w:sz w:val="24"/>
          <w:szCs w:val="24"/>
        </w:rPr>
        <w:t>Revenue from EGMs is i</w:t>
      </w:r>
      <w:r w:rsidR="007E5359">
        <w:rPr>
          <w:rFonts w:ascii="Calibri" w:hAnsi="Calibri"/>
          <w:sz w:val="24"/>
          <w:szCs w:val="24"/>
        </w:rPr>
        <w:t>nformally estimated at about 65 per cent</w:t>
      </w:r>
      <w:r w:rsidR="003F0179">
        <w:rPr>
          <w:rFonts w:ascii="Calibri" w:hAnsi="Calibri"/>
          <w:sz w:val="24"/>
          <w:szCs w:val="24"/>
        </w:rPr>
        <w:t xml:space="preserve"> of total revenue for the casino.</w:t>
      </w:r>
    </w:p>
    <w:p w:rsidR="00C473BF" w:rsidRPr="00ED119B" w:rsidRDefault="00C473BF" w:rsidP="00C473BF">
      <w:pPr>
        <w:numPr>
          <w:ilvl w:val="0"/>
          <w:numId w:val="11"/>
        </w:numPr>
        <w:spacing w:before="120" w:after="0" w:line="240" w:lineRule="auto"/>
        <w:rPr>
          <w:rFonts w:ascii="Calibri" w:hAnsi="Calibri"/>
          <w:sz w:val="24"/>
          <w:szCs w:val="24"/>
        </w:rPr>
      </w:pPr>
      <w:r w:rsidRPr="00ED119B">
        <w:rPr>
          <w:rFonts w:ascii="Calibri" w:hAnsi="Calibri"/>
          <w:sz w:val="24"/>
          <w:szCs w:val="24"/>
        </w:rPr>
        <w:t xml:space="preserve">Lotteries account for 9 per cent of total losses. </w:t>
      </w:r>
    </w:p>
    <w:p w:rsidR="00C473BF" w:rsidRPr="00ED119B" w:rsidRDefault="00C473BF" w:rsidP="00C473BF">
      <w:pPr>
        <w:numPr>
          <w:ilvl w:val="0"/>
          <w:numId w:val="11"/>
        </w:numPr>
        <w:spacing w:before="120" w:after="0" w:line="240" w:lineRule="auto"/>
        <w:rPr>
          <w:rFonts w:ascii="Calibri" w:hAnsi="Calibri"/>
          <w:sz w:val="24"/>
          <w:szCs w:val="24"/>
        </w:rPr>
      </w:pPr>
      <w:r w:rsidRPr="00ED119B">
        <w:rPr>
          <w:rFonts w:ascii="Calibri" w:hAnsi="Calibri"/>
          <w:sz w:val="24"/>
          <w:szCs w:val="24"/>
        </w:rPr>
        <w:t xml:space="preserve">Wagering which includes race betting and TAB, accounted for 15 per cent of total losses. </w:t>
      </w:r>
    </w:p>
    <w:p w:rsidR="00C473BF" w:rsidRDefault="0025378E" w:rsidP="00C473BF">
      <w:pPr>
        <w:numPr>
          <w:ilvl w:val="0"/>
          <w:numId w:val="11"/>
        </w:numPr>
        <w:spacing w:before="120" w:after="0" w:line="240" w:lineRule="auto"/>
        <w:rPr>
          <w:rFonts w:ascii="Calibri" w:hAnsi="Calibri"/>
          <w:sz w:val="24"/>
          <w:szCs w:val="24"/>
        </w:rPr>
      </w:pPr>
      <w:r>
        <w:rPr>
          <w:rFonts w:ascii="Calibri" w:hAnsi="Calibri"/>
          <w:sz w:val="24"/>
          <w:szCs w:val="24"/>
        </w:rPr>
        <w:t>Club Keno accounts for 0.2</w:t>
      </w:r>
      <w:r w:rsidR="00C473BF" w:rsidRPr="00ED119B">
        <w:rPr>
          <w:rFonts w:ascii="Calibri" w:hAnsi="Calibri"/>
          <w:sz w:val="24"/>
          <w:szCs w:val="24"/>
        </w:rPr>
        <w:t xml:space="preserve"> per cent of total losses. </w:t>
      </w:r>
    </w:p>
    <w:p w:rsidR="00FC5E57" w:rsidRDefault="00FC5E57" w:rsidP="002D114D">
      <w:pPr>
        <w:spacing w:before="120" w:after="0" w:line="240" w:lineRule="auto"/>
        <w:rPr>
          <w:rFonts w:ascii="Calibri" w:hAnsi="Calibri"/>
          <w:sz w:val="24"/>
          <w:szCs w:val="24"/>
        </w:rPr>
      </w:pPr>
    </w:p>
    <w:p w:rsidR="003C43B0" w:rsidRDefault="003C43B0" w:rsidP="002D114D">
      <w:pPr>
        <w:spacing w:before="120" w:after="0" w:line="240" w:lineRule="auto"/>
        <w:rPr>
          <w:rFonts w:ascii="Calibri" w:hAnsi="Calibri"/>
          <w:sz w:val="24"/>
          <w:szCs w:val="24"/>
        </w:rPr>
      </w:pPr>
      <w:r>
        <w:rPr>
          <w:rFonts w:ascii="Calibri" w:hAnsi="Calibri"/>
          <w:sz w:val="24"/>
          <w:szCs w:val="24"/>
        </w:rPr>
        <w:t xml:space="preserve">Another way of considering the impact of gambling on the community is gambling losses </w:t>
      </w:r>
      <w:r w:rsidR="00DA2606">
        <w:rPr>
          <w:rFonts w:ascii="Calibri" w:hAnsi="Calibri"/>
          <w:sz w:val="24"/>
          <w:szCs w:val="24"/>
        </w:rPr>
        <w:t xml:space="preserve">as a percentage of household </w:t>
      </w:r>
      <w:r w:rsidR="00B72A0A">
        <w:rPr>
          <w:rFonts w:ascii="Calibri" w:hAnsi="Calibri"/>
          <w:sz w:val="24"/>
          <w:szCs w:val="24"/>
        </w:rPr>
        <w:t xml:space="preserve">disposable income </w:t>
      </w:r>
      <w:r w:rsidR="0072611F">
        <w:rPr>
          <w:rFonts w:ascii="Calibri" w:hAnsi="Calibri"/>
          <w:sz w:val="24"/>
          <w:szCs w:val="24"/>
        </w:rPr>
        <w:t>in Victoria.</w:t>
      </w:r>
      <w:r w:rsidR="00FC33DA">
        <w:rPr>
          <w:rFonts w:ascii="Calibri" w:hAnsi="Calibri"/>
          <w:sz w:val="24"/>
          <w:szCs w:val="24"/>
        </w:rPr>
        <w:t xml:space="preserve"> </w:t>
      </w:r>
      <w:r w:rsidR="0072611F">
        <w:rPr>
          <w:rFonts w:ascii="Calibri" w:hAnsi="Calibri"/>
          <w:sz w:val="24"/>
          <w:szCs w:val="24"/>
        </w:rPr>
        <w:t>As is the case with losses overall</w:t>
      </w:r>
      <w:r w:rsidR="001A56A5">
        <w:rPr>
          <w:rFonts w:ascii="Calibri" w:hAnsi="Calibri"/>
          <w:sz w:val="24"/>
          <w:szCs w:val="24"/>
        </w:rPr>
        <w:t>,</w:t>
      </w:r>
      <w:r w:rsidR="0072611F">
        <w:rPr>
          <w:rFonts w:ascii="Calibri" w:hAnsi="Calibri"/>
          <w:sz w:val="24"/>
          <w:szCs w:val="24"/>
        </w:rPr>
        <w:t xml:space="preserve"> </w:t>
      </w:r>
      <w:r w:rsidR="001A56A5">
        <w:rPr>
          <w:rFonts w:ascii="Calibri" w:hAnsi="Calibri"/>
          <w:sz w:val="24"/>
          <w:szCs w:val="24"/>
        </w:rPr>
        <w:t>t</w:t>
      </w:r>
      <w:r w:rsidR="0072611F">
        <w:rPr>
          <w:rFonts w:ascii="Calibri" w:hAnsi="Calibri"/>
          <w:sz w:val="24"/>
          <w:szCs w:val="24"/>
        </w:rPr>
        <w:t xml:space="preserve">he losses from </w:t>
      </w:r>
      <w:r w:rsidR="001A56A5">
        <w:rPr>
          <w:rFonts w:ascii="Calibri" w:hAnsi="Calibri"/>
          <w:sz w:val="24"/>
          <w:szCs w:val="24"/>
        </w:rPr>
        <w:t xml:space="preserve">EGMs are the highest </w:t>
      </w:r>
      <w:r w:rsidR="00B72A0A">
        <w:rPr>
          <w:rFonts w:ascii="Calibri" w:hAnsi="Calibri"/>
          <w:sz w:val="24"/>
          <w:szCs w:val="24"/>
        </w:rPr>
        <w:t>at 1.1</w:t>
      </w:r>
      <w:r w:rsidR="00D70924">
        <w:rPr>
          <w:rFonts w:ascii="Calibri" w:hAnsi="Calibri"/>
          <w:sz w:val="24"/>
          <w:szCs w:val="24"/>
        </w:rPr>
        <w:t xml:space="preserve"> per cent</w:t>
      </w:r>
      <w:r w:rsidR="001A56A5">
        <w:rPr>
          <w:rFonts w:ascii="Calibri" w:hAnsi="Calibri"/>
          <w:sz w:val="24"/>
          <w:szCs w:val="24"/>
        </w:rPr>
        <w:t xml:space="preserve"> followe</w:t>
      </w:r>
      <w:r w:rsidR="00BB4D71">
        <w:rPr>
          <w:rFonts w:ascii="Calibri" w:hAnsi="Calibri"/>
          <w:sz w:val="24"/>
          <w:szCs w:val="24"/>
        </w:rPr>
        <w:t>d by losses from Casinos at 0.7 per cent</w:t>
      </w:r>
      <w:r w:rsidR="001A56A5">
        <w:rPr>
          <w:rFonts w:ascii="Calibri" w:hAnsi="Calibri"/>
          <w:sz w:val="24"/>
          <w:szCs w:val="24"/>
        </w:rPr>
        <w:t xml:space="preserve"> of household budgets.</w:t>
      </w:r>
    </w:p>
    <w:p w:rsidR="00FC5E57" w:rsidRDefault="00FC5E57" w:rsidP="002D114D">
      <w:pPr>
        <w:spacing w:before="120" w:after="0" w:line="240" w:lineRule="auto"/>
        <w:rPr>
          <w:rFonts w:ascii="Calibri" w:hAnsi="Calibri"/>
          <w:sz w:val="24"/>
          <w:szCs w:val="24"/>
        </w:rPr>
      </w:pPr>
    </w:p>
    <w:p w:rsidR="00FC5E57" w:rsidRPr="00ED119B" w:rsidRDefault="00FC5E57" w:rsidP="002D114D">
      <w:pPr>
        <w:spacing w:before="120" w:after="0" w:line="240" w:lineRule="auto"/>
        <w:rPr>
          <w:rFonts w:ascii="Calibri" w:hAnsi="Calibri"/>
          <w:sz w:val="24"/>
          <w:szCs w:val="24"/>
        </w:rPr>
      </w:pPr>
      <w:r w:rsidRPr="00FC5E57">
        <w:rPr>
          <w:rFonts w:ascii="Calibri" w:hAnsi="Calibri"/>
          <w:noProof/>
          <w:sz w:val="24"/>
          <w:szCs w:val="24"/>
        </w:rPr>
        <w:drawing>
          <wp:inline distT="0" distB="0" distL="0" distR="0">
            <wp:extent cx="5600701" cy="3590925"/>
            <wp:effectExtent l="1905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1309" w:rsidRDefault="00BB1309">
      <w:pPr>
        <w:rPr>
          <w:b/>
          <w:sz w:val="24"/>
          <w:szCs w:val="24"/>
        </w:rPr>
      </w:pPr>
    </w:p>
    <w:p w:rsidR="00D20196" w:rsidRDefault="00D20196">
      <w:pPr>
        <w:rPr>
          <w:b/>
          <w:sz w:val="24"/>
          <w:szCs w:val="24"/>
        </w:rPr>
      </w:pPr>
      <w:r>
        <w:rPr>
          <w:b/>
          <w:sz w:val="24"/>
          <w:szCs w:val="24"/>
        </w:rPr>
        <w:br w:type="page"/>
      </w:r>
    </w:p>
    <w:p w:rsidR="00C473BF" w:rsidRDefault="00A13A89">
      <w:pPr>
        <w:rPr>
          <w:b/>
          <w:sz w:val="24"/>
          <w:szCs w:val="24"/>
        </w:rPr>
      </w:pPr>
      <w:r>
        <w:rPr>
          <w:b/>
          <w:sz w:val="24"/>
          <w:szCs w:val="24"/>
        </w:rPr>
        <w:t>Taxation from Gambling in Victoria</w:t>
      </w:r>
    </w:p>
    <w:p w:rsidR="008D11CB" w:rsidRPr="008D11CB" w:rsidRDefault="008D11CB">
      <w:pPr>
        <w:rPr>
          <w:sz w:val="24"/>
          <w:szCs w:val="24"/>
        </w:rPr>
      </w:pPr>
      <w:r>
        <w:rPr>
          <w:rFonts w:ascii="Calibri" w:hAnsi="Calibri"/>
          <w:sz w:val="24"/>
          <w:szCs w:val="24"/>
        </w:rPr>
        <w:t>The Victorian State Government relies heavily on taxation revenue</w:t>
      </w:r>
      <w:r w:rsidR="00A838C1">
        <w:rPr>
          <w:rFonts w:ascii="Calibri" w:hAnsi="Calibri"/>
          <w:sz w:val="24"/>
          <w:szCs w:val="24"/>
        </w:rPr>
        <w:t xml:space="preserve"> from gambling</w:t>
      </w:r>
      <w:r>
        <w:rPr>
          <w:rFonts w:ascii="Calibri" w:hAnsi="Calibri"/>
          <w:sz w:val="24"/>
          <w:szCs w:val="24"/>
        </w:rPr>
        <w:t>. In 2013-14, $1.5 billion was collected in taxation revenue from gambling in Victoria.</w:t>
      </w:r>
    </w:p>
    <w:p w:rsidR="00C473BF" w:rsidRDefault="00C473BF">
      <w:pPr>
        <w:rPr>
          <w:b/>
          <w:sz w:val="24"/>
          <w:szCs w:val="24"/>
        </w:rPr>
      </w:pPr>
      <w:r>
        <w:rPr>
          <w:noProof/>
        </w:rPr>
        <w:drawing>
          <wp:inline distT="0" distB="0" distL="0" distR="0">
            <wp:extent cx="5731510" cy="3270512"/>
            <wp:effectExtent l="0" t="0" r="254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0A55" w:rsidRDefault="0058252E" w:rsidP="00B00A55">
      <w:pPr>
        <w:spacing w:before="120" w:after="0" w:line="240" w:lineRule="auto"/>
        <w:rPr>
          <w:rFonts w:ascii="Calibri" w:hAnsi="Calibri"/>
          <w:sz w:val="24"/>
          <w:szCs w:val="24"/>
        </w:rPr>
      </w:pPr>
      <w:r>
        <w:rPr>
          <w:rFonts w:ascii="Calibri" w:hAnsi="Calibri"/>
          <w:sz w:val="24"/>
          <w:szCs w:val="24"/>
        </w:rPr>
        <w:t xml:space="preserve">As a percentage breakdown </w:t>
      </w:r>
      <w:r w:rsidR="00916DD6">
        <w:rPr>
          <w:rFonts w:ascii="Calibri" w:hAnsi="Calibri"/>
          <w:sz w:val="24"/>
          <w:szCs w:val="24"/>
        </w:rPr>
        <w:t xml:space="preserve">this shows the following: </w:t>
      </w:r>
    </w:p>
    <w:p w:rsidR="00BC4E91" w:rsidRPr="00ED119B" w:rsidRDefault="00BC4E91" w:rsidP="00BC4E91">
      <w:pPr>
        <w:numPr>
          <w:ilvl w:val="0"/>
          <w:numId w:val="11"/>
        </w:numPr>
        <w:spacing w:before="120" w:after="0" w:line="240" w:lineRule="auto"/>
        <w:rPr>
          <w:rFonts w:ascii="Calibri" w:hAnsi="Calibri"/>
          <w:sz w:val="24"/>
          <w:szCs w:val="24"/>
        </w:rPr>
      </w:pPr>
      <w:r w:rsidRPr="00ED119B">
        <w:rPr>
          <w:rFonts w:ascii="Calibri" w:hAnsi="Calibri"/>
          <w:sz w:val="24"/>
          <w:szCs w:val="24"/>
        </w:rPr>
        <w:t>EGMs outside t</w:t>
      </w:r>
      <w:r>
        <w:rPr>
          <w:rFonts w:ascii="Calibri" w:hAnsi="Calibri"/>
          <w:sz w:val="24"/>
          <w:szCs w:val="24"/>
        </w:rPr>
        <w:t xml:space="preserve">he Crown Casino </w:t>
      </w:r>
      <w:r w:rsidR="00411D5A">
        <w:rPr>
          <w:rFonts w:ascii="Calibri" w:hAnsi="Calibri"/>
          <w:sz w:val="24"/>
          <w:szCs w:val="24"/>
        </w:rPr>
        <w:t xml:space="preserve">- </w:t>
      </w:r>
      <w:r w:rsidR="00E868BC">
        <w:rPr>
          <w:rFonts w:ascii="Calibri" w:hAnsi="Calibri"/>
          <w:sz w:val="24"/>
          <w:szCs w:val="24"/>
        </w:rPr>
        <w:t>57</w:t>
      </w:r>
      <w:r>
        <w:rPr>
          <w:rFonts w:ascii="Calibri" w:hAnsi="Calibri"/>
          <w:sz w:val="24"/>
          <w:szCs w:val="24"/>
        </w:rPr>
        <w:t xml:space="preserve"> </w:t>
      </w:r>
      <w:r w:rsidRPr="00ED119B">
        <w:rPr>
          <w:rFonts w:ascii="Calibri" w:hAnsi="Calibri"/>
          <w:sz w:val="24"/>
          <w:szCs w:val="24"/>
        </w:rPr>
        <w:t xml:space="preserve">per cent </w:t>
      </w:r>
    </w:p>
    <w:p w:rsidR="00BC4E91" w:rsidRPr="00ED119B" w:rsidRDefault="00BC4E91" w:rsidP="00BC4E91">
      <w:pPr>
        <w:numPr>
          <w:ilvl w:val="0"/>
          <w:numId w:val="11"/>
        </w:numPr>
        <w:spacing w:before="120" w:after="0" w:line="240" w:lineRule="auto"/>
        <w:rPr>
          <w:rFonts w:ascii="Calibri" w:hAnsi="Calibri"/>
          <w:sz w:val="24"/>
          <w:szCs w:val="24"/>
        </w:rPr>
      </w:pPr>
      <w:r>
        <w:rPr>
          <w:rFonts w:ascii="Calibri" w:hAnsi="Calibri"/>
          <w:sz w:val="24"/>
          <w:szCs w:val="24"/>
        </w:rPr>
        <w:t xml:space="preserve">Crown Casino </w:t>
      </w:r>
      <w:r w:rsidR="00411D5A">
        <w:rPr>
          <w:rFonts w:ascii="Calibri" w:hAnsi="Calibri"/>
          <w:sz w:val="24"/>
          <w:szCs w:val="24"/>
        </w:rPr>
        <w:t xml:space="preserve">- </w:t>
      </w:r>
      <w:r w:rsidR="00841ED9">
        <w:rPr>
          <w:rFonts w:ascii="Calibri" w:hAnsi="Calibri"/>
          <w:sz w:val="24"/>
          <w:szCs w:val="24"/>
        </w:rPr>
        <w:t xml:space="preserve">14 </w:t>
      </w:r>
      <w:r w:rsidRPr="00ED119B">
        <w:rPr>
          <w:rFonts w:ascii="Calibri" w:hAnsi="Calibri"/>
          <w:sz w:val="24"/>
          <w:szCs w:val="24"/>
        </w:rPr>
        <w:t xml:space="preserve">per cent </w:t>
      </w:r>
    </w:p>
    <w:p w:rsidR="00BC4E91" w:rsidRPr="00ED119B" w:rsidRDefault="00841ED9" w:rsidP="00BC4E91">
      <w:pPr>
        <w:numPr>
          <w:ilvl w:val="0"/>
          <w:numId w:val="11"/>
        </w:numPr>
        <w:spacing w:before="120" w:after="0" w:line="240" w:lineRule="auto"/>
        <w:rPr>
          <w:rFonts w:ascii="Calibri" w:hAnsi="Calibri"/>
          <w:sz w:val="24"/>
          <w:szCs w:val="24"/>
        </w:rPr>
      </w:pPr>
      <w:r>
        <w:rPr>
          <w:rFonts w:ascii="Calibri" w:hAnsi="Calibri"/>
          <w:sz w:val="24"/>
          <w:szCs w:val="24"/>
        </w:rPr>
        <w:t xml:space="preserve">Lotteries </w:t>
      </w:r>
      <w:r w:rsidR="00411D5A">
        <w:rPr>
          <w:rFonts w:ascii="Calibri" w:hAnsi="Calibri"/>
          <w:sz w:val="24"/>
          <w:szCs w:val="24"/>
        </w:rPr>
        <w:t xml:space="preserve">- </w:t>
      </w:r>
      <w:r>
        <w:rPr>
          <w:rFonts w:ascii="Calibri" w:hAnsi="Calibri"/>
          <w:sz w:val="24"/>
          <w:szCs w:val="24"/>
        </w:rPr>
        <w:t>26</w:t>
      </w:r>
      <w:r w:rsidR="00BC4E91" w:rsidRPr="00ED119B">
        <w:rPr>
          <w:rFonts w:ascii="Calibri" w:hAnsi="Calibri"/>
          <w:sz w:val="24"/>
          <w:szCs w:val="24"/>
        </w:rPr>
        <w:t xml:space="preserve"> per cent </w:t>
      </w:r>
    </w:p>
    <w:p w:rsidR="00841ED9" w:rsidRDefault="00BC4E91" w:rsidP="00BC4E91">
      <w:pPr>
        <w:numPr>
          <w:ilvl w:val="0"/>
          <w:numId w:val="11"/>
        </w:numPr>
        <w:spacing w:before="120" w:after="0" w:line="240" w:lineRule="auto"/>
        <w:rPr>
          <w:rFonts w:ascii="Calibri" w:hAnsi="Calibri"/>
          <w:sz w:val="24"/>
          <w:szCs w:val="24"/>
        </w:rPr>
      </w:pPr>
      <w:r w:rsidRPr="00841ED9">
        <w:rPr>
          <w:rFonts w:ascii="Calibri" w:hAnsi="Calibri"/>
          <w:sz w:val="24"/>
          <w:szCs w:val="24"/>
        </w:rPr>
        <w:t xml:space="preserve">Wagering </w:t>
      </w:r>
      <w:r w:rsidR="00411D5A">
        <w:rPr>
          <w:rFonts w:ascii="Calibri" w:hAnsi="Calibri"/>
          <w:sz w:val="24"/>
          <w:szCs w:val="24"/>
        </w:rPr>
        <w:t xml:space="preserve">- </w:t>
      </w:r>
      <w:r w:rsidR="00841ED9">
        <w:rPr>
          <w:rFonts w:ascii="Calibri" w:hAnsi="Calibri"/>
          <w:sz w:val="24"/>
          <w:szCs w:val="24"/>
        </w:rPr>
        <w:t xml:space="preserve">4 per cent </w:t>
      </w:r>
    </w:p>
    <w:p w:rsidR="00FD2A94" w:rsidRPr="002B36C7" w:rsidRDefault="00BC4E91" w:rsidP="007630BD">
      <w:pPr>
        <w:numPr>
          <w:ilvl w:val="0"/>
          <w:numId w:val="11"/>
        </w:numPr>
        <w:spacing w:before="120" w:after="0" w:line="240" w:lineRule="auto"/>
        <w:rPr>
          <w:sz w:val="24"/>
        </w:rPr>
      </w:pPr>
      <w:r w:rsidRPr="003011AD">
        <w:rPr>
          <w:rFonts w:ascii="Calibri" w:hAnsi="Calibri"/>
          <w:sz w:val="24"/>
          <w:szCs w:val="24"/>
        </w:rPr>
        <w:t xml:space="preserve">Club Keno </w:t>
      </w:r>
      <w:r w:rsidR="00411D5A" w:rsidRPr="003011AD">
        <w:rPr>
          <w:rFonts w:ascii="Calibri" w:hAnsi="Calibri"/>
          <w:sz w:val="24"/>
          <w:szCs w:val="24"/>
        </w:rPr>
        <w:t xml:space="preserve">- </w:t>
      </w:r>
      <w:r w:rsidRPr="003011AD">
        <w:rPr>
          <w:rFonts w:ascii="Calibri" w:hAnsi="Calibri"/>
          <w:sz w:val="24"/>
          <w:szCs w:val="24"/>
        </w:rPr>
        <w:t xml:space="preserve">0.2 per cent </w:t>
      </w:r>
    </w:p>
    <w:p w:rsidR="003C58AE" w:rsidRDefault="00916DD6" w:rsidP="006910DC">
      <w:pPr>
        <w:spacing w:before="120" w:after="0" w:line="240" w:lineRule="auto"/>
        <w:rPr>
          <w:sz w:val="24"/>
        </w:rPr>
      </w:pPr>
      <w:r>
        <w:rPr>
          <w:sz w:val="24"/>
        </w:rPr>
        <w:t xml:space="preserve">This breakdown demonstrates that EGM gambling </w:t>
      </w:r>
      <w:r w:rsidR="006910DC">
        <w:rPr>
          <w:sz w:val="24"/>
        </w:rPr>
        <w:t xml:space="preserve">represents by far the largest source of revenue from gambling for the </w:t>
      </w:r>
      <w:r w:rsidR="00E20518">
        <w:rPr>
          <w:sz w:val="24"/>
        </w:rPr>
        <w:t xml:space="preserve">Victorian Government, with over twice the level of </w:t>
      </w:r>
      <w:r w:rsidR="00C633C4">
        <w:rPr>
          <w:sz w:val="24"/>
        </w:rPr>
        <w:t xml:space="preserve">taxation </w:t>
      </w:r>
      <w:r w:rsidR="00E20518">
        <w:rPr>
          <w:sz w:val="24"/>
        </w:rPr>
        <w:t>revenue as lotteries</w:t>
      </w:r>
      <w:r w:rsidR="003F0179">
        <w:rPr>
          <w:sz w:val="24"/>
        </w:rPr>
        <w:t>,</w:t>
      </w:r>
      <w:r w:rsidR="00E20518">
        <w:rPr>
          <w:sz w:val="24"/>
        </w:rPr>
        <w:t xml:space="preserve"> and over </w:t>
      </w:r>
      <w:r w:rsidR="004935F2">
        <w:rPr>
          <w:sz w:val="24"/>
        </w:rPr>
        <w:t xml:space="preserve">four </w:t>
      </w:r>
      <w:r w:rsidR="00E20518">
        <w:rPr>
          <w:sz w:val="24"/>
        </w:rPr>
        <w:t>times the</w:t>
      </w:r>
      <w:r w:rsidR="009302C6">
        <w:rPr>
          <w:sz w:val="24"/>
        </w:rPr>
        <w:t xml:space="preserve"> taxation revenue collected from Crown C</w:t>
      </w:r>
      <w:r w:rsidR="00E20518">
        <w:rPr>
          <w:sz w:val="24"/>
        </w:rPr>
        <w:t>asino</w:t>
      </w:r>
      <w:r w:rsidR="00C633C4">
        <w:rPr>
          <w:sz w:val="24"/>
        </w:rPr>
        <w:t>.</w:t>
      </w:r>
    </w:p>
    <w:p w:rsidR="00BB1309" w:rsidRDefault="00BB1309" w:rsidP="00BB1309">
      <w:pPr>
        <w:rPr>
          <w:sz w:val="24"/>
        </w:rPr>
      </w:pPr>
    </w:p>
    <w:p w:rsidR="00D20196" w:rsidRDefault="00D20196">
      <w:pPr>
        <w:rPr>
          <w:b/>
          <w:sz w:val="28"/>
          <w:szCs w:val="28"/>
        </w:rPr>
      </w:pPr>
      <w:r>
        <w:rPr>
          <w:b/>
          <w:sz w:val="28"/>
          <w:szCs w:val="28"/>
        </w:rPr>
        <w:br w:type="page"/>
      </w:r>
    </w:p>
    <w:p w:rsidR="00A7674F" w:rsidRPr="00C03A4C" w:rsidRDefault="006910DC" w:rsidP="00C03A4C">
      <w:pPr>
        <w:pStyle w:val="Heading1"/>
        <w:rPr>
          <w:rFonts w:asciiTheme="minorHAnsi" w:hAnsiTheme="minorHAnsi"/>
          <w:sz w:val="28"/>
          <w:szCs w:val="28"/>
        </w:rPr>
      </w:pPr>
      <w:bookmarkStart w:id="2" w:name="_Toc446348710"/>
      <w:r w:rsidRPr="00C03A4C">
        <w:rPr>
          <w:rFonts w:asciiTheme="minorHAnsi" w:hAnsiTheme="minorHAnsi"/>
          <w:sz w:val="28"/>
          <w:szCs w:val="28"/>
        </w:rPr>
        <w:t>Gambling in t</w:t>
      </w:r>
      <w:r w:rsidR="00A7674F" w:rsidRPr="00C03A4C">
        <w:rPr>
          <w:rFonts w:asciiTheme="minorHAnsi" w:hAnsiTheme="minorHAnsi"/>
          <w:sz w:val="28"/>
          <w:szCs w:val="28"/>
        </w:rPr>
        <w:t>he City of Maribyrnong</w:t>
      </w:r>
      <w:bookmarkEnd w:id="2"/>
    </w:p>
    <w:p w:rsidR="00243916" w:rsidRPr="00307C5E" w:rsidRDefault="003F0179" w:rsidP="00307C5E">
      <w:pPr>
        <w:rPr>
          <w:rFonts w:ascii="Calibri" w:hAnsi="Calibri"/>
          <w:sz w:val="24"/>
        </w:rPr>
      </w:pPr>
      <w:r>
        <w:rPr>
          <w:rFonts w:ascii="Calibri" w:hAnsi="Calibri"/>
          <w:sz w:val="24"/>
        </w:rPr>
        <w:t>Lawful g</w:t>
      </w:r>
      <w:r w:rsidR="00243916" w:rsidRPr="00307C5E">
        <w:rPr>
          <w:rFonts w:ascii="Calibri" w:hAnsi="Calibri"/>
          <w:sz w:val="24"/>
        </w:rPr>
        <w:t xml:space="preserve">ambling in Maribyrnong </w:t>
      </w:r>
      <w:r>
        <w:rPr>
          <w:rFonts w:ascii="Calibri" w:hAnsi="Calibri"/>
          <w:sz w:val="24"/>
        </w:rPr>
        <w:t>involves the use of</w:t>
      </w:r>
      <w:r w:rsidR="00243916" w:rsidRPr="00307C5E">
        <w:rPr>
          <w:rFonts w:ascii="Calibri" w:hAnsi="Calibri"/>
          <w:sz w:val="24"/>
        </w:rPr>
        <w:t xml:space="preserve"> EGMs, wagering (Racing and Sports Betting), Lotteries, Club Keno and online gambling. Statistics are not available for the level of losses from wagering, lotteries and online gambling in </w:t>
      </w:r>
      <w:r w:rsidR="00563B11">
        <w:rPr>
          <w:rFonts w:ascii="Calibri" w:hAnsi="Calibri"/>
          <w:sz w:val="24"/>
        </w:rPr>
        <w:t xml:space="preserve">the </w:t>
      </w:r>
      <w:r w:rsidR="0003266E">
        <w:rPr>
          <w:rFonts w:ascii="Calibri" w:hAnsi="Calibri"/>
          <w:sz w:val="24"/>
        </w:rPr>
        <w:t>municipality</w:t>
      </w:r>
      <w:r w:rsidR="00563B11">
        <w:rPr>
          <w:rFonts w:ascii="Calibri" w:hAnsi="Calibri"/>
          <w:sz w:val="24"/>
        </w:rPr>
        <w:t>.</w:t>
      </w:r>
    </w:p>
    <w:p w:rsidR="00824378" w:rsidRPr="00824378" w:rsidRDefault="00824378" w:rsidP="00824378">
      <w:pPr>
        <w:rPr>
          <w:rFonts w:ascii="Calibri" w:hAnsi="Calibri"/>
          <w:sz w:val="24"/>
        </w:rPr>
      </w:pPr>
      <w:r w:rsidRPr="00824378">
        <w:rPr>
          <w:rFonts w:ascii="Calibri" w:hAnsi="Calibri"/>
          <w:sz w:val="24"/>
        </w:rPr>
        <w:t xml:space="preserve">However, it is likely that the breakdown of losses from different forms of gambling in Victoria is similar in Maribyrnong to the Victorian levels. This means that EGM </w:t>
      </w:r>
      <w:r w:rsidR="0003266E">
        <w:rPr>
          <w:rFonts w:ascii="Calibri" w:hAnsi="Calibri"/>
          <w:sz w:val="24"/>
        </w:rPr>
        <w:t>g</w:t>
      </w:r>
      <w:r w:rsidRPr="00824378">
        <w:rPr>
          <w:rFonts w:ascii="Calibri" w:hAnsi="Calibri"/>
          <w:sz w:val="24"/>
        </w:rPr>
        <w:t xml:space="preserve">ambling is likely to </w:t>
      </w:r>
      <w:r w:rsidR="0003266E">
        <w:rPr>
          <w:rFonts w:ascii="Calibri" w:hAnsi="Calibri"/>
          <w:sz w:val="24"/>
        </w:rPr>
        <w:t>comprise</w:t>
      </w:r>
      <w:r w:rsidRPr="00824378">
        <w:rPr>
          <w:rFonts w:ascii="Calibri" w:hAnsi="Calibri"/>
          <w:sz w:val="24"/>
        </w:rPr>
        <w:t xml:space="preserve"> a far larger proportion of losses </w:t>
      </w:r>
      <w:r w:rsidR="0003266E">
        <w:rPr>
          <w:rFonts w:ascii="Calibri" w:hAnsi="Calibri"/>
          <w:sz w:val="24"/>
        </w:rPr>
        <w:t xml:space="preserve">than other forms of </w:t>
      </w:r>
      <w:r w:rsidRPr="00824378">
        <w:rPr>
          <w:rFonts w:ascii="Calibri" w:hAnsi="Calibri"/>
          <w:sz w:val="24"/>
        </w:rPr>
        <w:t>gambling.</w:t>
      </w:r>
    </w:p>
    <w:p w:rsidR="001A331D" w:rsidRDefault="001A331D" w:rsidP="001A331D">
      <w:pPr>
        <w:rPr>
          <w:sz w:val="24"/>
          <w:szCs w:val="24"/>
        </w:rPr>
      </w:pPr>
      <w:r w:rsidRPr="009E5AB4">
        <w:rPr>
          <w:sz w:val="24"/>
          <w:szCs w:val="24"/>
        </w:rPr>
        <w:t xml:space="preserve">The City of Maribyrnong </w:t>
      </w:r>
      <w:r w:rsidR="00AF32F3">
        <w:rPr>
          <w:sz w:val="24"/>
          <w:szCs w:val="24"/>
        </w:rPr>
        <w:t>has a cap of 511 EGMs with 415</w:t>
      </w:r>
      <w:r w:rsidR="00553085">
        <w:rPr>
          <w:sz w:val="24"/>
          <w:szCs w:val="24"/>
        </w:rPr>
        <w:t xml:space="preserve"> </w:t>
      </w:r>
      <w:r w:rsidR="00AF32F3">
        <w:rPr>
          <w:sz w:val="24"/>
          <w:szCs w:val="24"/>
        </w:rPr>
        <w:t xml:space="preserve">licenced EGMS </w:t>
      </w:r>
      <w:r w:rsidR="00A44264">
        <w:rPr>
          <w:sz w:val="24"/>
          <w:szCs w:val="24"/>
        </w:rPr>
        <w:t>in nine venues</w:t>
      </w:r>
      <w:r w:rsidR="00553085">
        <w:rPr>
          <w:sz w:val="24"/>
          <w:szCs w:val="24"/>
        </w:rPr>
        <w:t xml:space="preserve">. </w:t>
      </w:r>
      <w:r w:rsidR="00FC33DA">
        <w:rPr>
          <w:sz w:val="24"/>
          <w:szCs w:val="24"/>
        </w:rPr>
        <w:t xml:space="preserve"> </w:t>
      </w:r>
      <w:r w:rsidR="00A95C75">
        <w:rPr>
          <w:sz w:val="24"/>
          <w:szCs w:val="24"/>
        </w:rPr>
        <w:t xml:space="preserve">This represents </w:t>
      </w:r>
      <w:r w:rsidR="0026124B">
        <w:rPr>
          <w:sz w:val="24"/>
          <w:szCs w:val="24"/>
        </w:rPr>
        <w:t xml:space="preserve">6.1 EGMs per 1000 adults. </w:t>
      </w:r>
      <w:r w:rsidR="00CB17D0">
        <w:rPr>
          <w:sz w:val="24"/>
          <w:szCs w:val="24"/>
        </w:rPr>
        <w:t xml:space="preserve">The </w:t>
      </w:r>
      <w:r w:rsidR="00963332">
        <w:rPr>
          <w:sz w:val="24"/>
          <w:szCs w:val="24"/>
        </w:rPr>
        <w:t xml:space="preserve">municipality </w:t>
      </w:r>
      <w:r w:rsidRPr="009E5AB4">
        <w:rPr>
          <w:sz w:val="24"/>
          <w:szCs w:val="24"/>
        </w:rPr>
        <w:t>ha</w:t>
      </w:r>
      <w:r w:rsidR="00963332">
        <w:rPr>
          <w:sz w:val="24"/>
          <w:szCs w:val="24"/>
        </w:rPr>
        <w:t>d</w:t>
      </w:r>
      <w:r w:rsidRPr="009E5AB4">
        <w:rPr>
          <w:sz w:val="24"/>
          <w:szCs w:val="24"/>
        </w:rPr>
        <w:t xml:space="preserve"> </w:t>
      </w:r>
      <w:r>
        <w:rPr>
          <w:sz w:val="24"/>
          <w:szCs w:val="24"/>
        </w:rPr>
        <w:t xml:space="preserve">losses </w:t>
      </w:r>
      <w:r w:rsidR="004E76EF">
        <w:rPr>
          <w:sz w:val="24"/>
          <w:szCs w:val="24"/>
        </w:rPr>
        <w:t>of $52.9 million</w:t>
      </w:r>
      <w:r>
        <w:rPr>
          <w:sz w:val="24"/>
          <w:szCs w:val="24"/>
        </w:rPr>
        <w:t xml:space="preserve"> on EGMs in 2014-15. Th</w:t>
      </w:r>
      <w:r w:rsidR="004759FC">
        <w:rPr>
          <w:sz w:val="24"/>
          <w:szCs w:val="24"/>
        </w:rPr>
        <w:t>is equates to EGM losses of $798</w:t>
      </w:r>
      <w:r w:rsidR="00271EC3">
        <w:rPr>
          <w:sz w:val="24"/>
          <w:szCs w:val="24"/>
        </w:rPr>
        <w:t xml:space="preserve"> per adult, which is the third highest in </w:t>
      </w:r>
      <w:r w:rsidR="00B90B7B">
        <w:rPr>
          <w:sz w:val="24"/>
          <w:szCs w:val="24"/>
        </w:rPr>
        <w:t xml:space="preserve">Victoria, after </w:t>
      </w:r>
      <w:r w:rsidR="00963332">
        <w:rPr>
          <w:sz w:val="24"/>
          <w:szCs w:val="24"/>
        </w:rPr>
        <w:t xml:space="preserve">the cities of </w:t>
      </w:r>
      <w:r w:rsidR="00B90B7B">
        <w:rPr>
          <w:sz w:val="24"/>
          <w:szCs w:val="24"/>
        </w:rPr>
        <w:t>Greater Dandenong and Brimbank</w:t>
      </w:r>
      <w:r w:rsidR="00753C81">
        <w:rPr>
          <w:sz w:val="24"/>
          <w:szCs w:val="24"/>
        </w:rPr>
        <w:t>.</w:t>
      </w:r>
    </w:p>
    <w:p w:rsidR="00875753" w:rsidRDefault="00306601" w:rsidP="00306601">
      <w:pPr>
        <w:rPr>
          <w:sz w:val="24"/>
          <w:szCs w:val="24"/>
        </w:rPr>
      </w:pPr>
      <w:r>
        <w:rPr>
          <w:sz w:val="24"/>
          <w:szCs w:val="24"/>
        </w:rPr>
        <w:t>The level of losses from EGMs is highest in the suburb of Braybrook with $14.86 million in 2014-15</w:t>
      </w:r>
      <w:r w:rsidR="00AA597F">
        <w:rPr>
          <w:sz w:val="24"/>
          <w:szCs w:val="24"/>
        </w:rPr>
        <w:t xml:space="preserve"> from two venues</w:t>
      </w:r>
      <w:r w:rsidR="003F0179">
        <w:rPr>
          <w:sz w:val="24"/>
          <w:szCs w:val="24"/>
        </w:rPr>
        <w:t>,</w:t>
      </w:r>
      <w:r w:rsidR="00AA597F">
        <w:rPr>
          <w:sz w:val="24"/>
          <w:szCs w:val="24"/>
        </w:rPr>
        <w:t xml:space="preserve"> the Braybrook Hotel and the Ashley Hotel.</w:t>
      </w:r>
      <w:r w:rsidR="00FC33DA">
        <w:rPr>
          <w:sz w:val="24"/>
          <w:szCs w:val="24"/>
        </w:rPr>
        <w:t xml:space="preserve"> </w:t>
      </w:r>
      <w:r w:rsidR="00AA597F">
        <w:rPr>
          <w:sz w:val="24"/>
          <w:szCs w:val="24"/>
        </w:rPr>
        <w:t xml:space="preserve">This is </w:t>
      </w:r>
      <w:r w:rsidR="00D54CEA">
        <w:rPr>
          <w:sz w:val="24"/>
          <w:szCs w:val="24"/>
        </w:rPr>
        <w:t>followed by Maidstone with $13.61 million</w:t>
      </w:r>
      <w:r w:rsidR="003F0179">
        <w:rPr>
          <w:sz w:val="24"/>
          <w:szCs w:val="24"/>
        </w:rPr>
        <w:t>,</w:t>
      </w:r>
      <w:r w:rsidR="00D54CEA">
        <w:rPr>
          <w:sz w:val="24"/>
          <w:szCs w:val="24"/>
        </w:rPr>
        <w:t xml:space="preserve"> from one venue, the Yarraville Cricket Club (Palms Bingo).</w:t>
      </w:r>
    </w:p>
    <w:p w:rsidR="00ED119B" w:rsidRDefault="00ED119B">
      <w:pPr>
        <w:rPr>
          <w:sz w:val="24"/>
          <w:szCs w:val="24"/>
        </w:rPr>
      </w:pPr>
      <w:bookmarkStart w:id="3" w:name="_GoBack"/>
      <w:r w:rsidRPr="00ED119B">
        <w:rPr>
          <w:noProof/>
          <w:sz w:val="24"/>
          <w:szCs w:val="24"/>
        </w:rPr>
        <w:drawing>
          <wp:inline distT="0" distB="0" distL="0" distR="0">
            <wp:extent cx="5731510" cy="3451765"/>
            <wp:effectExtent l="19050" t="0" r="254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3"/>
    </w:p>
    <w:p w:rsidR="00A30056" w:rsidRDefault="00A30056" w:rsidP="00A30056">
      <w:pPr>
        <w:rPr>
          <w:rFonts w:ascii="Calibri" w:hAnsi="Calibri"/>
          <w:sz w:val="24"/>
        </w:rPr>
      </w:pPr>
      <w:r>
        <w:rPr>
          <w:rFonts w:ascii="Calibri" w:hAnsi="Calibri"/>
          <w:sz w:val="24"/>
        </w:rPr>
        <w:t xml:space="preserve">The City of Maribyrnong is an area of relative social and economic disadvantage, it being ranked 72 out of 79 municipal districts for disadvantage on the SEIFA scale.   </w:t>
      </w:r>
    </w:p>
    <w:p w:rsidR="00875753" w:rsidRDefault="00875753" w:rsidP="00875753">
      <w:pPr>
        <w:rPr>
          <w:sz w:val="24"/>
          <w:szCs w:val="24"/>
        </w:rPr>
      </w:pPr>
      <w:r>
        <w:rPr>
          <w:sz w:val="24"/>
          <w:szCs w:val="24"/>
        </w:rPr>
        <w:t xml:space="preserve">Braybrook is the fourth most disadvantaged suburb in metropolitan Melbourne, </w:t>
      </w:r>
      <w:r w:rsidR="009866D4">
        <w:rPr>
          <w:sz w:val="24"/>
          <w:szCs w:val="24"/>
        </w:rPr>
        <w:t xml:space="preserve">with a </w:t>
      </w:r>
      <w:r>
        <w:rPr>
          <w:sz w:val="24"/>
          <w:szCs w:val="24"/>
        </w:rPr>
        <w:t>SEIFA Index of Disadvantage rank of 801.1.</w:t>
      </w:r>
      <w:r w:rsidR="00FC33DA">
        <w:rPr>
          <w:sz w:val="24"/>
          <w:szCs w:val="24"/>
        </w:rPr>
        <w:t xml:space="preserve"> </w:t>
      </w:r>
      <w:r>
        <w:rPr>
          <w:sz w:val="24"/>
          <w:szCs w:val="24"/>
        </w:rPr>
        <w:t>Braybrook also has significant levels of disadvantage across a range of indicators including education</w:t>
      </w:r>
      <w:r w:rsidR="003F0179">
        <w:rPr>
          <w:sz w:val="24"/>
          <w:szCs w:val="24"/>
        </w:rPr>
        <w:t>al attainment</w:t>
      </w:r>
      <w:r>
        <w:rPr>
          <w:sz w:val="24"/>
          <w:szCs w:val="24"/>
        </w:rPr>
        <w:t>, qualifications</w:t>
      </w:r>
      <w:r w:rsidR="003F0179">
        <w:rPr>
          <w:sz w:val="24"/>
          <w:szCs w:val="24"/>
        </w:rPr>
        <w:t>,</w:t>
      </w:r>
      <w:r>
        <w:rPr>
          <w:sz w:val="24"/>
          <w:szCs w:val="24"/>
        </w:rPr>
        <w:t xml:space="preserve"> and unemployment. </w:t>
      </w:r>
    </w:p>
    <w:p w:rsidR="000C3687" w:rsidRDefault="00376EA9" w:rsidP="00835BAD">
      <w:pPr>
        <w:rPr>
          <w:sz w:val="24"/>
          <w:szCs w:val="24"/>
        </w:rPr>
      </w:pPr>
      <w:r w:rsidRPr="00DC2482">
        <w:rPr>
          <w:sz w:val="24"/>
          <w:szCs w:val="24"/>
        </w:rPr>
        <w:t>Braybrook has the lowest level of completion of Year 12 of any suburb in the City of Maribyrnong</w:t>
      </w:r>
      <w:r w:rsidR="003F0179">
        <w:rPr>
          <w:sz w:val="24"/>
          <w:szCs w:val="24"/>
        </w:rPr>
        <w:t>,</w:t>
      </w:r>
      <w:r w:rsidRPr="00DC2482">
        <w:rPr>
          <w:sz w:val="24"/>
          <w:szCs w:val="24"/>
        </w:rPr>
        <w:t xml:space="preserve"> and in comparison with Greater Melbourne</w:t>
      </w:r>
      <w:r w:rsidR="00835BAD">
        <w:rPr>
          <w:sz w:val="24"/>
          <w:szCs w:val="24"/>
        </w:rPr>
        <w:t xml:space="preserve">. </w:t>
      </w:r>
    </w:p>
    <w:p w:rsidR="00835BAD" w:rsidRDefault="001F06C6" w:rsidP="00835BAD">
      <w:pPr>
        <w:rPr>
          <w:noProof/>
          <w:sz w:val="24"/>
          <w:szCs w:val="24"/>
        </w:rPr>
      </w:pPr>
      <w:r>
        <w:rPr>
          <w:sz w:val="24"/>
          <w:szCs w:val="24"/>
        </w:rPr>
        <w:t>Braybrook also has the hig</w:t>
      </w:r>
      <w:r w:rsidR="000C3687">
        <w:rPr>
          <w:sz w:val="24"/>
          <w:szCs w:val="24"/>
        </w:rPr>
        <w:t>h</w:t>
      </w:r>
      <w:r>
        <w:rPr>
          <w:sz w:val="24"/>
          <w:szCs w:val="24"/>
        </w:rPr>
        <w:t>est proportion of people without qualifications</w:t>
      </w:r>
      <w:r w:rsidR="003F0179">
        <w:rPr>
          <w:sz w:val="24"/>
          <w:szCs w:val="24"/>
        </w:rPr>
        <w:t>,</w:t>
      </w:r>
      <w:r>
        <w:rPr>
          <w:sz w:val="24"/>
          <w:szCs w:val="24"/>
        </w:rPr>
        <w:t xml:space="preserve"> with 53.7</w:t>
      </w:r>
      <w:r w:rsidR="00AC77ED">
        <w:rPr>
          <w:sz w:val="24"/>
          <w:szCs w:val="24"/>
        </w:rPr>
        <w:t xml:space="preserve"> per cent</w:t>
      </w:r>
      <w:r w:rsidR="0018696C">
        <w:rPr>
          <w:sz w:val="24"/>
          <w:szCs w:val="24"/>
        </w:rPr>
        <w:t>, compared to 40 per cent</w:t>
      </w:r>
      <w:r w:rsidR="00D24CE3">
        <w:rPr>
          <w:sz w:val="24"/>
          <w:szCs w:val="24"/>
        </w:rPr>
        <w:t xml:space="preserve"> for the City of Maribyrnong and 42.5</w:t>
      </w:r>
      <w:r w:rsidR="00EC015F">
        <w:rPr>
          <w:sz w:val="24"/>
          <w:szCs w:val="24"/>
        </w:rPr>
        <w:t xml:space="preserve"> per cent</w:t>
      </w:r>
      <w:r w:rsidR="00D24CE3">
        <w:rPr>
          <w:sz w:val="24"/>
          <w:szCs w:val="24"/>
        </w:rPr>
        <w:t xml:space="preserve"> for Greater Melbourne.</w:t>
      </w:r>
      <w:r w:rsidR="00FC33DA">
        <w:rPr>
          <w:sz w:val="24"/>
          <w:szCs w:val="24"/>
        </w:rPr>
        <w:t xml:space="preserve"> </w:t>
      </w:r>
      <w:r w:rsidR="00835BAD" w:rsidRPr="00DC2482">
        <w:rPr>
          <w:noProof/>
          <w:sz w:val="24"/>
          <w:szCs w:val="24"/>
        </w:rPr>
        <w:t xml:space="preserve">People with no qualifications are classified as people who do not have a unversity, TAFE, technical or trade qualification. This can restrict </w:t>
      </w:r>
      <w:r w:rsidR="00835BAD">
        <w:rPr>
          <w:noProof/>
          <w:sz w:val="24"/>
          <w:szCs w:val="24"/>
        </w:rPr>
        <w:t xml:space="preserve">people to </w:t>
      </w:r>
      <w:r w:rsidR="00835BAD" w:rsidRPr="00DC2482">
        <w:rPr>
          <w:noProof/>
          <w:sz w:val="24"/>
          <w:szCs w:val="24"/>
        </w:rPr>
        <w:t>unskilled occupations</w:t>
      </w:r>
      <w:r w:rsidR="003F0179">
        <w:rPr>
          <w:noProof/>
          <w:sz w:val="24"/>
          <w:szCs w:val="24"/>
        </w:rPr>
        <w:t>,</w:t>
      </w:r>
      <w:r w:rsidR="00835BAD" w:rsidRPr="00DC2482">
        <w:rPr>
          <w:noProof/>
          <w:sz w:val="24"/>
          <w:szCs w:val="24"/>
        </w:rPr>
        <w:t xml:space="preserve"> </w:t>
      </w:r>
      <w:r w:rsidR="00835BAD">
        <w:rPr>
          <w:noProof/>
          <w:sz w:val="24"/>
          <w:szCs w:val="24"/>
        </w:rPr>
        <w:t xml:space="preserve">which </w:t>
      </w:r>
      <w:r w:rsidR="003F0179">
        <w:rPr>
          <w:noProof/>
          <w:sz w:val="24"/>
          <w:szCs w:val="24"/>
        </w:rPr>
        <w:t>are frequently</w:t>
      </w:r>
      <w:r w:rsidR="00835BAD">
        <w:rPr>
          <w:noProof/>
          <w:sz w:val="24"/>
          <w:szCs w:val="24"/>
        </w:rPr>
        <w:t xml:space="preserve"> low paid.</w:t>
      </w:r>
    </w:p>
    <w:p w:rsidR="001A7989" w:rsidRDefault="001A7989" w:rsidP="001A7989">
      <w:pPr>
        <w:rPr>
          <w:sz w:val="24"/>
          <w:szCs w:val="24"/>
        </w:rPr>
      </w:pPr>
      <w:r>
        <w:rPr>
          <w:sz w:val="24"/>
          <w:szCs w:val="24"/>
        </w:rPr>
        <w:t>Braybrook’s unemployment rate is 12.9</w:t>
      </w:r>
      <w:r w:rsidR="00364A50">
        <w:rPr>
          <w:sz w:val="24"/>
          <w:szCs w:val="24"/>
        </w:rPr>
        <w:t xml:space="preserve"> per cent</w:t>
      </w:r>
      <w:r>
        <w:rPr>
          <w:sz w:val="24"/>
          <w:szCs w:val="24"/>
        </w:rPr>
        <w:t xml:space="preserve"> as of March 2015 compared </w:t>
      </w:r>
      <w:r w:rsidR="0081764F">
        <w:rPr>
          <w:sz w:val="24"/>
          <w:szCs w:val="24"/>
        </w:rPr>
        <w:t>to 7</w:t>
      </w:r>
      <w:r w:rsidR="00364A50">
        <w:rPr>
          <w:sz w:val="24"/>
          <w:szCs w:val="24"/>
        </w:rPr>
        <w:t xml:space="preserve"> per cent</w:t>
      </w:r>
      <w:r w:rsidR="0081764F">
        <w:rPr>
          <w:sz w:val="24"/>
          <w:szCs w:val="24"/>
        </w:rPr>
        <w:t xml:space="preserve"> for the City of Maribyrnong and 6.3</w:t>
      </w:r>
      <w:r w:rsidR="00364A50">
        <w:rPr>
          <w:sz w:val="24"/>
          <w:szCs w:val="24"/>
        </w:rPr>
        <w:t xml:space="preserve"> per cent</w:t>
      </w:r>
      <w:r w:rsidR="0081764F">
        <w:rPr>
          <w:sz w:val="24"/>
          <w:szCs w:val="24"/>
        </w:rPr>
        <w:t xml:space="preserve"> for Victoria.</w:t>
      </w:r>
      <w:r>
        <w:rPr>
          <w:sz w:val="24"/>
          <w:szCs w:val="24"/>
        </w:rPr>
        <w:t xml:space="preserve"> </w:t>
      </w:r>
    </w:p>
    <w:p w:rsidR="002E251C" w:rsidRDefault="002E251C" w:rsidP="002E251C">
      <w:pPr>
        <w:rPr>
          <w:sz w:val="24"/>
          <w:szCs w:val="24"/>
        </w:rPr>
      </w:pPr>
      <w:r>
        <w:rPr>
          <w:sz w:val="24"/>
          <w:szCs w:val="24"/>
        </w:rPr>
        <w:t xml:space="preserve">Braybrook historically </w:t>
      </w:r>
      <w:r w:rsidR="0093180E">
        <w:rPr>
          <w:sz w:val="24"/>
          <w:szCs w:val="24"/>
        </w:rPr>
        <w:t xml:space="preserve">has </w:t>
      </w:r>
      <w:r>
        <w:rPr>
          <w:sz w:val="24"/>
          <w:szCs w:val="24"/>
        </w:rPr>
        <w:t xml:space="preserve">had a very high concentration of social housing. Social Housing in Victoria is </w:t>
      </w:r>
      <w:r w:rsidR="003F0179">
        <w:rPr>
          <w:sz w:val="24"/>
          <w:szCs w:val="24"/>
        </w:rPr>
        <w:t>characterised by</w:t>
      </w:r>
      <w:r>
        <w:rPr>
          <w:sz w:val="24"/>
          <w:szCs w:val="24"/>
        </w:rPr>
        <w:t xml:space="preserve"> people on low incomes either renting from a government authority such as the Victoria Office of Housing</w:t>
      </w:r>
      <w:r w:rsidR="003F0179">
        <w:rPr>
          <w:sz w:val="24"/>
          <w:szCs w:val="24"/>
        </w:rPr>
        <w:t>,</w:t>
      </w:r>
      <w:r>
        <w:rPr>
          <w:sz w:val="24"/>
          <w:szCs w:val="24"/>
        </w:rPr>
        <w:t xml:space="preserve"> or from a social housing cooperative. Based on ID Census 2011 data, 19.3</w:t>
      </w:r>
      <w:r w:rsidR="00E63C7C">
        <w:rPr>
          <w:sz w:val="24"/>
          <w:szCs w:val="24"/>
        </w:rPr>
        <w:t xml:space="preserve"> per cent</w:t>
      </w:r>
      <w:r>
        <w:rPr>
          <w:sz w:val="24"/>
          <w:szCs w:val="24"/>
        </w:rPr>
        <w:t xml:space="preserve"> of Braybrook’s housing is classified as social housing</w:t>
      </w:r>
      <w:r w:rsidR="003F0179">
        <w:rPr>
          <w:sz w:val="24"/>
          <w:szCs w:val="24"/>
        </w:rPr>
        <w:t>,</w:t>
      </w:r>
      <w:r>
        <w:rPr>
          <w:sz w:val="24"/>
          <w:szCs w:val="24"/>
        </w:rPr>
        <w:t xml:space="preserve"> </w:t>
      </w:r>
      <w:r w:rsidR="003F0179">
        <w:rPr>
          <w:sz w:val="24"/>
          <w:szCs w:val="24"/>
        </w:rPr>
        <w:t>as</w:t>
      </w:r>
      <w:r>
        <w:rPr>
          <w:sz w:val="24"/>
          <w:szCs w:val="24"/>
        </w:rPr>
        <w:t xml:space="preserve"> compared to 6.2</w:t>
      </w:r>
      <w:r w:rsidR="00E63C7C">
        <w:rPr>
          <w:sz w:val="24"/>
          <w:szCs w:val="24"/>
        </w:rPr>
        <w:t xml:space="preserve"> per cent</w:t>
      </w:r>
      <w:r>
        <w:rPr>
          <w:sz w:val="24"/>
          <w:szCs w:val="24"/>
        </w:rPr>
        <w:t xml:space="preserve"> for the City of Maribyrnong and 2.9</w:t>
      </w:r>
      <w:r w:rsidR="00E63C7C">
        <w:rPr>
          <w:sz w:val="24"/>
          <w:szCs w:val="24"/>
        </w:rPr>
        <w:t xml:space="preserve"> per cent</w:t>
      </w:r>
      <w:r>
        <w:rPr>
          <w:sz w:val="24"/>
          <w:szCs w:val="24"/>
        </w:rPr>
        <w:t xml:space="preserve"> for Greater Melbourne.</w:t>
      </w:r>
    </w:p>
    <w:p w:rsidR="002E251C" w:rsidRDefault="002E251C" w:rsidP="002E251C">
      <w:pPr>
        <w:rPr>
          <w:sz w:val="24"/>
          <w:szCs w:val="24"/>
        </w:rPr>
      </w:pPr>
      <w:r>
        <w:rPr>
          <w:sz w:val="24"/>
          <w:szCs w:val="24"/>
        </w:rPr>
        <w:t xml:space="preserve">The level of losses from EGMs across the suburbs of Maribyrnong is not reflected in large </w:t>
      </w:r>
      <w:r w:rsidR="003F0179">
        <w:rPr>
          <w:sz w:val="24"/>
          <w:szCs w:val="24"/>
        </w:rPr>
        <w:t xml:space="preserve">absolute </w:t>
      </w:r>
      <w:r>
        <w:rPr>
          <w:sz w:val="24"/>
          <w:szCs w:val="24"/>
        </w:rPr>
        <w:t>numbers of EGMs.</w:t>
      </w:r>
      <w:r w:rsidR="00FC33DA">
        <w:rPr>
          <w:sz w:val="24"/>
          <w:szCs w:val="24"/>
        </w:rPr>
        <w:t xml:space="preserve"> </w:t>
      </w:r>
      <w:r>
        <w:rPr>
          <w:sz w:val="24"/>
          <w:szCs w:val="24"/>
        </w:rPr>
        <w:t xml:space="preserve">Yarraville has 26 more EGMs than Braybrook and Footscray and 26 more than Footscray. However, both Braybrook and Maidstone have far higher losses than Yarraville. </w:t>
      </w:r>
    </w:p>
    <w:p w:rsidR="00ED119B" w:rsidRPr="00780F75" w:rsidRDefault="005D5BD4">
      <w:pPr>
        <w:rPr>
          <w:sz w:val="24"/>
          <w:szCs w:val="24"/>
        </w:rPr>
      </w:pPr>
      <w:r w:rsidRPr="005D5BD4">
        <w:rPr>
          <w:noProof/>
          <w:sz w:val="24"/>
          <w:szCs w:val="24"/>
        </w:rPr>
        <w:drawing>
          <wp:inline distT="0" distB="0" distL="0" distR="0">
            <wp:extent cx="5648325" cy="3505200"/>
            <wp:effectExtent l="1905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1F52" w:rsidRDefault="00431F52" w:rsidP="00C272FE">
      <w:pPr>
        <w:rPr>
          <w:b/>
          <w:i/>
          <w:sz w:val="24"/>
          <w:szCs w:val="24"/>
        </w:rPr>
      </w:pPr>
    </w:p>
    <w:p w:rsidR="00F94C7A" w:rsidRPr="00B67C38" w:rsidRDefault="00F94C7A" w:rsidP="00C272FE">
      <w:pPr>
        <w:rPr>
          <w:b/>
          <w:i/>
          <w:sz w:val="24"/>
          <w:szCs w:val="24"/>
        </w:rPr>
      </w:pPr>
      <w:r w:rsidRPr="00B67C38">
        <w:rPr>
          <w:b/>
          <w:i/>
          <w:sz w:val="24"/>
          <w:szCs w:val="24"/>
        </w:rPr>
        <w:t>Gaming Applications in the City of Maribyrnong</w:t>
      </w:r>
    </w:p>
    <w:p w:rsidR="0000314E" w:rsidRDefault="0000314E" w:rsidP="00C272FE">
      <w:pPr>
        <w:rPr>
          <w:sz w:val="24"/>
          <w:szCs w:val="24"/>
        </w:rPr>
      </w:pPr>
      <w:r>
        <w:rPr>
          <w:sz w:val="24"/>
          <w:szCs w:val="24"/>
        </w:rPr>
        <w:t>Since 2008, the City of Maribyrnong has had three gaming applications</w:t>
      </w:r>
      <w:r w:rsidR="00820E63">
        <w:rPr>
          <w:sz w:val="24"/>
          <w:szCs w:val="24"/>
        </w:rPr>
        <w:t>:</w:t>
      </w:r>
      <w:r>
        <w:rPr>
          <w:sz w:val="24"/>
          <w:szCs w:val="24"/>
        </w:rPr>
        <w:t xml:space="preserve"> the Edgewater Club</w:t>
      </w:r>
      <w:r w:rsidR="00820E63">
        <w:rPr>
          <w:sz w:val="24"/>
          <w:szCs w:val="24"/>
        </w:rPr>
        <w:t>;</w:t>
      </w:r>
      <w:r>
        <w:rPr>
          <w:sz w:val="24"/>
          <w:szCs w:val="24"/>
        </w:rPr>
        <w:t xml:space="preserve"> the Braybrook Hotel</w:t>
      </w:r>
      <w:r w:rsidR="00820E63">
        <w:rPr>
          <w:sz w:val="24"/>
          <w:szCs w:val="24"/>
        </w:rPr>
        <w:t>;</w:t>
      </w:r>
      <w:r>
        <w:rPr>
          <w:sz w:val="24"/>
          <w:szCs w:val="24"/>
        </w:rPr>
        <w:t xml:space="preserve"> and the Yarraville Club. </w:t>
      </w:r>
    </w:p>
    <w:p w:rsidR="003F7D6C" w:rsidRDefault="003F7D6C" w:rsidP="00C272FE">
      <w:pPr>
        <w:rPr>
          <w:sz w:val="24"/>
          <w:szCs w:val="24"/>
        </w:rPr>
      </w:pPr>
      <w:r w:rsidRPr="00FF4621">
        <w:rPr>
          <w:sz w:val="24"/>
          <w:szCs w:val="24"/>
        </w:rPr>
        <w:t>The Edgewater Club development in the suburb of Maribyrnong was approved in 2010. The proposed venue includ</w:t>
      </w:r>
      <w:r w:rsidR="00A071A6">
        <w:rPr>
          <w:sz w:val="24"/>
          <w:szCs w:val="24"/>
        </w:rPr>
        <w:t>es the installation of 70 EGMs.</w:t>
      </w:r>
      <w:r w:rsidR="00FC33DA">
        <w:rPr>
          <w:sz w:val="24"/>
          <w:szCs w:val="24"/>
        </w:rPr>
        <w:t xml:space="preserve"> </w:t>
      </w:r>
      <w:r>
        <w:rPr>
          <w:sz w:val="24"/>
          <w:szCs w:val="24"/>
        </w:rPr>
        <w:t>Council opposed this application in the VCGR</w:t>
      </w:r>
      <w:r w:rsidR="00E660D7">
        <w:rPr>
          <w:sz w:val="24"/>
          <w:szCs w:val="24"/>
        </w:rPr>
        <w:t xml:space="preserve"> (as it then was)</w:t>
      </w:r>
      <w:r>
        <w:rPr>
          <w:sz w:val="24"/>
          <w:szCs w:val="24"/>
        </w:rPr>
        <w:t xml:space="preserve"> and </w:t>
      </w:r>
      <w:r w:rsidR="0011632B">
        <w:rPr>
          <w:sz w:val="24"/>
          <w:szCs w:val="24"/>
        </w:rPr>
        <w:t>at the Tribunal</w:t>
      </w:r>
      <w:r w:rsidR="00E660D7">
        <w:rPr>
          <w:sz w:val="24"/>
          <w:szCs w:val="24"/>
        </w:rPr>
        <w:t>,</w:t>
      </w:r>
      <w:r w:rsidR="00D04534">
        <w:rPr>
          <w:sz w:val="24"/>
          <w:szCs w:val="24"/>
        </w:rPr>
        <w:t xml:space="preserve"> highlighting the high level of losses from venues surrounding the proposed venue.</w:t>
      </w:r>
    </w:p>
    <w:p w:rsidR="000D1C9A" w:rsidRDefault="000D1C9A" w:rsidP="00C272FE">
      <w:pPr>
        <w:rPr>
          <w:sz w:val="24"/>
          <w:szCs w:val="24"/>
        </w:rPr>
      </w:pPr>
      <w:r>
        <w:rPr>
          <w:sz w:val="24"/>
          <w:szCs w:val="24"/>
        </w:rPr>
        <w:t xml:space="preserve">In 2015, the developer for the Edgewater Club proposed </w:t>
      </w:r>
      <w:r w:rsidR="0011632B">
        <w:rPr>
          <w:sz w:val="24"/>
          <w:szCs w:val="24"/>
        </w:rPr>
        <w:t>to develop</w:t>
      </w:r>
      <w:r>
        <w:rPr>
          <w:sz w:val="24"/>
          <w:szCs w:val="24"/>
        </w:rPr>
        <w:t xml:space="preserve"> 12 residential dwelling</w:t>
      </w:r>
      <w:r w:rsidR="00E660D7">
        <w:rPr>
          <w:sz w:val="24"/>
          <w:szCs w:val="24"/>
        </w:rPr>
        <w:t>s</w:t>
      </w:r>
      <w:r>
        <w:rPr>
          <w:sz w:val="24"/>
          <w:szCs w:val="24"/>
        </w:rPr>
        <w:t xml:space="preserve"> </w:t>
      </w:r>
      <w:r w:rsidR="0011632B">
        <w:rPr>
          <w:sz w:val="24"/>
          <w:szCs w:val="24"/>
        </w:rPr>
        <w:t xml:space="preserve">above </w:t>
      </w:r>
      <w:r>
        <w:rPr>
          <w:sz w:val="24"/>
          <w:szCs w:val="24"/>
        </w:rPr>
        <w:t>the venue</w:t>
      </w:r>
      <w:r w:rsidR="0011632B">
        <w:rPr>
          <w:sz w:val="24"/>
          <w:szCs w:val="24"/>
        </w:rPr>
        <w:t xml:space="preserve"> and within the same building</w:t>
      </w:r>
      <w:r>
        <w:rPr>
          <w:sz w:val="24"/>
          <w:szCs w:val="24"/>
        </w:rPr>
        <w:t xml:space="preserve">. Council received 40 objections to the proposal </w:t>
      </w:r>
      <w:r w:rsidR="00674D80">
        <w:rPr>
          <w:sz w:val="24"/>
          <w:szCs w:val="24"/>
        </w:rPr>
        <w:t xml:space="preserve">from local residents </w:t>
      </w:r>
      <w:r>
        <w:rPr>
          <w:sz w:val="24"/>
          <w:szCs w:val="24"/>
        </w:rPr>
        <w:t xml:space="preserve">and initially </w:t>
      </w:r>
      <w:r w:rsidR="0011632B">
        <w:rPr>
          <w:sz w:val="24"/>
          <w:szCs w:val="24"/>
        </w:rPr>
        <w:t xml:space="preserve">resolved </w:t>
      </w:r>
      <w:r>
        <w:rPr>
          <w:sz w:val="24"/>
          <w:szCs w:val="24"/>
        </w:rPr>
        <w:t>to oppose the application.</w:t>
      </w:r>
      <w:r w:rsidR="00FC33DA">
        <w:rPr>
          <w:sz w:val="24"/>
          <w:szCs w:val="24"/>
        </w:rPr>
        <w:t xml:space="preserve"> </w:t>
      </w:r>
      <w:r w:rsidR="0011632B">
        <w:rPr>
          <w:sz w:val="24"/>
          <w:szCs w:val="24"/>
        </w:rPr>
        <w:t xml:space="preserve">Ultimately, the Tribunal granted the additional dwellings </w:t>
      </w:r>
      <w:r w:rsidR="000D5713">
        <w:rPr>
          <w:sz w:val="24"/>
          <w:szCs w:val="24"/>
        </w:rPr>
        <w:t>having regard to the planning merits</w:t>
      </w:r>
      <w:r w:rsidR="00AC4F1B">
        <w:rPr>
          <w:sz w:val="24"/>
          <w:szCs w:val="24"/>
        </w:rPr>
        <w:t xml:space="preserve"> of the particular proposal</w:t>
      </w:r>
      <w:r w:rsidR="00D04534">
        <w:rPr>
          <w:sz w:val="24"/>
          <w:szCs w:val="24"/>
        </w:rPr>
        <w:t>.</w:t>
      </w:r>
    </w:p>
    <w:p w:rsidR="00D04534" w:rsidRDefault="00D04534" w:rsidP="00C272FE">
      <w:pPr>
        <w:rPr>
          <w:sz w:val="24"/>
          <w:szCs w:val="24"/>
        </w:rPr>
      </w:pPr>
      <w:r>
        <w:rPr>
          <w:sz w:val="24"/>
          <w:szCs w:val="24"/>
        </w:rPr>
        <w:t xml:space="preserve">Council has </w:t>
      </w:r>
      <w:r w:rsidR="0072023E">
        <w:rPr>
          <w:sz w:val="24"/>
          <w:szCs w:val="24"/>
        </w:rPr>
        <w:t xml:space="preserve">subsequently </w:t>
      </w:r>
      <w:r>
        <w:rPr>
          <w:sz w:val="24"/>
          <w:szCs w:val="24"/>
        </w:rPr>
        <w:t xml:space="preserve">raised concerns </w:t>
      </w:r>
      <w:r w:rsidR="00E660D7">
        <w:rPr>
          <w:sz w:val="24"/>
          <w:szCs w:val="24"/>
        </w:rPr>
        <w:t xml:space="preserve">with the Minister for Gaming </w:t>
      </w:r>
      <w:r>
        <w:rPr>
          <w:sz w:val="24"/>
          <w:szCs w:val="24"/>
        </w:rPr>
        <w:t xml:space="preserve">over </w:t>
      </w:r>
      <w:r w:rsidR="009B5821">
        <w:rPr>
          <w:sz w:val="24"/>
          <w:szCs w:val="24"/>
        </w:rPr>
        <w:t xml:space="preserve">the development </w:t>
      </w:r>
      <w:r w:rsidR="008114A2">
        <w:rPr>
          <w:sz w:val="24"/>
          <w:szCs w:val="24"/>
        </w:rPr>
        <w:t xml:space="preserve">and use </w:t>
      </w:r>
      <w:r w:rsidR="003A357E">
        <w:rPr>
          <w:sz w:val="24"/>
          <w:szCs w:val="24"/>
        </w:rPr>
        <w:t>of dwellings</w:t>
      </w:r>
      <w:r w:rsidR="009B5821">
        <w:rPr>
          <w:sz w:val="24"/>
          <w:szCs w:val="24"/>
        </w:rPr>
        <w:t xml:space="preserve"> </w:t>
      </w:r>
      <w:r w:rsidR="0072023E">
        <w:rPr>
          <w:sz w:val="24"/>
          <w:szCs w:val="24"/>
        </w:rPr>
        <w:t xml:space="preserve">co-locating </w:t>
      </w:r>
      <w:r w:rsidR="009B5821">
        <w:rPr>
          <w:sz w:val="24"/>
          <w:szCs w:val="24"/>
        </w:rPr>
        <w:t>on</w:t>
      </w:r>
      <w:r w:rsidR="0072023E">
        <w:rPr>
          <w:sz w:val="24"/>
          <w:szCs w:val="24"/>
        </w:rPr>
        <w:t xml:space="preserve"> or above</w:t>
      </w:r>
      <w:r w:rsidR="009B5821">
        <w:rPr>
          <w:sz w:val="24"/>
          <w:szCs w:val="24"/>
        </w:rPr>
        <w:t xml:space="preserve"> gaming venue sites. </w:t>
      </w:r>
    </w:p>
    <w:p w:rsidR="00274DFB" w:rsidRDefault="005C65AC" w:rsidP="00C272FE">
      <w:pPr>
        <w:rPr>
          <w:sz w:val="24"/>
          <w:szCs w:val="24"/>
        </w:rPr>
      </w:pPr>
      <w:r>
        <w:rPr>
          <w:sz w:val="24"/>
          <w:szCs w:val="24"/>
        </w:rPr>
        <w:t xml:space="preserve">The Braybrook Hotel </w:t>
      </w:r>
      <w:r w:rsidR="00D41AB1">
        <w:rPr>
          <w:sz w:val="24"/>
          <w:szCs w:val="24"/>
        </w:rPr>
        <w:t xml:space="preserve">gaming case </w:t>
      </w:r>
      <w:r>
        <w:rPr>
          <w:sz w:val="24"/>
          <w:szCs w:val="24"/>
        </w:rPr>
        <w:t>involved the owners of the Braybrook Hotel, Bakers Arms</w:t>
      </w:r>
      <w:r w:rsidR="00E660D7">
        <w:rPr>
          <w:sz w:val="24"/>
          <w:szCs w:val="24"/>
        </w:rPr>
        <w:t xml:space="preserve"> Pty Ltd</w:t>
      </w:r>
      <w:r>
        <w:rPr>
          <w:sz w:val="24"/>
          <w:szCs w:val="24"/>
        </w:rPr>
        <w:t xml:space="preserve"> </w:t>
      </w:r>
      <w:r w:rsidR="00B04615">
        <w:rPr>
          <w:sz w:val="24"/>
          <w:szCs w:val="24"/>
        </w:rPr>
        <w:t>applying</w:t>
      </w:r>
      <w:r w:rsidR="00D41AB1">
        <w:rPr>
          <w:sz w:val="24"/>
          <w:szCs w:val="24"/>
        </w:rPr>
        <w:t xml:space="preserve"> to the VCGLR for an increase of 19 EGMs </w:t>
      </w:r>
      <w:r w:rsidR="00274DFB">
        <w:rPr>
          <w:sz w:val="24"/>
          <w:szCs w:val="24"/>
        </w:rPr>
        <w:t>at the venue</w:t>
      </w:r>
      <w:r w:rsidR="00B200DA">
        <w:rPr>
          <w:sz w:val="24"/>
          <w:szCs w:val="24"/>
        </w:rPr>
        <w:t xml:space="preserve"> from 31 to 50</w:t>
      </w:r>
      <w:r w:rsidR="00E660D7">
        <w:rPr>
          <w:sz w:val="24"/>
          <w:szCs w:val="24"/>
        </w:rPr>
        <w:t>,</w:t>
      </w:r>
      <w:r w:rsidR="00B200DA">
        <w:rPr>
          <w:sz w:val="24"/>
          <w:szCs w:val="24"/>
        </w:rPr>
        <w:t xml:space="preserve"> </w:t>
      </w:r>
      <w:r w:rsidR="00E660D7">
        <w:rPr>
          <w:sz w:val="24"/>
          <w:szCs w:val="24"/>
        </w:rPr>
        <w:t>in the context of</w:t>
      </w:r>
      <w:r w:rsidR="00B200DA">
        <w:rPr>
          <w:sz w:val="24"/>
          <w:szCs w:val="24"/>
        </w:rPr>
        <w:t xml:space="preserve"> a proposal for a $6 million redevelopment of the site</w:t>
      </w:r>
      <w:r w:rsidR="00E660D7">
        <w:rPr>
          <w:sz w:val="24"/>
          <w:szCs w:val="24"/>
        </w:rPr>
        <w:t xml:space="preserve">. The applicant also undertook to establish a </w:t>
      </w:r>
      <w:r w:rsidR="00B200DA">
        <w:rPr>
          <w:sz w:val="24"/>
          <w:szCs w:val="24"/>
        </w:rPr>
        <w:t>$100,000</w:t>
      </w:r>
      <w:r w:rsidR="00525F9B">
        <w:rPr>
          <w:sz w:val="24"/>
          <w:szCs w:val="24"/>
        </w:rPr>
        <w:t xml:space="preserve"> Annual Community Support Fund.</w:t>
      </w:r>
    </w:p>
    <w:p w:rsidR="006935E8" w:rsidRDefault="00E660D7">
      <w:pPr>
        <w:rPr>
          <w:sz w:val="24"/>
          <w:szCs w:val="24"/>
        </w:rPr>
      </w:pPr>
      <w:r>
        <w:rPr>
          <w:sz w:val="24"/>
          <w:szCs w:val="24"/>
        </w:rPr>
        <w:t xml:space="preserve">At VCGLR, </w:t>
      </w:r>
      <w:r w:rsidR="00274DFB">
        <w:rPr>
          <w:sz w:val="24"/>
          <w:szCs w:val="24"/>
        </w:rPr>
        <w:t xml:space="preserve">Council successfully opposed this application on the grounds that the proposed increase would cause significant harm </w:t>
      </w:r>
      <w:r w:rsidR="008E4D42">
        <w:rPr>
          <w:sz w:val="24"/>
          <w:szCs w:val="24"/>
        </w:rPr>
        <w:t xml:space="preserve">and increase levels of problem gambling </w:t>
      </w:r>
      <w:r w:rsidR="00274DFB">
        <w:rPr>
          <w:sz w:val="24"/>
          <w:szCs w:val="24"/>
        </w:rPr>
        <w:t xml:space="preserve">in a community </w:t>
      </w:r>
      <w:r w:rsidR="002E1F49">
        <w:rPr>
          <w:sz w:val="24"/>
          <w:szCs w:val="24"/>
        </w:rPr>
        <w:t xml:space="preserve">with </w:t>
      </w:r>
      <w:r w:rsidR="00274DFB">
        <w:rPr>
          <w:sz w:val="24"/>
          <w:szCs w:val="24"/>
        </w:rPr>
        <w:t>high levels of social and economic disadvantage.</w:t>
      </w:r>
      <w:r w:rsidR="00FC33DA">
        <w:rPr>
          <w:sz w:val="24"/>
          <w:szCs w:val="24"/>
        </w:rPr>
        <w:t xml:space="preserve"> </w:t>
      </w:r>
      <w:r w:rsidR="00FE7B6B">
        <w:rPr>
          <w:sz w:val="24"/>
          <w:szCs w:val="24"/>
        </w:rPr>
        <w:t xml:space="preserve">In its </w:t>
      </w:r>
      <w:r w:rsidR="00B04615">
        <w:rPr>
          <w:sz w:val="24"/>
          <w:szCs w:val="24"/>
        </w:rPr>
        <w:t xml:space="preserve">decision, </w:t>
      </w:r>
      <w:r w:rsidR="00FE7B6B">
        <w:rPr>
          <w:sz w:val="24"/>
          <w:szCs w:val="24"/>
        </w:rPr>
        <w:t xml:space="preserve">the VCGLR stated </w:t>
      </w:r>
      <w:r w:rsidR="00B04615">
        <w:rPr>
          <w:sz w:val="24"/>
          <w:szCs w:val="24"/>
        </w:rPr>
        <w:t xml:space="preserve">the </w:t>
      </w:r>
      <w:r w:rsidR="00FE7B6B">
        <w:rPr>
          <w:sz w:val="24"/>
          <w:szCs w:val="24"/>
        </w:rPr>
        <w:t>dis</w:t>
      </w:r>
      <w:r w:rsidR="00B04615">
        <w:rPr>
          <w:sz w:val="24"/>
          <w:szCs w:val="24"/>
        </w:rPr>
        <w:t>-</w:t>
      </w:r>
      <w:r w:rsidR="00FE7B6B">
        <w:rPr>
          <w:sz w:val="24"/>
          <w:szCs w:val="24"/>
        </w:rPr>
        <w:t xml:space="preserve">benefits to </w:t>
      </w:r>
      <w:r w:rsidR="00B04615">
        <w:rPr>
          <w:sz w:val="24"/>
          <w:szCs w:val="24"/>
        </w:rPr>
        <w:t xml:space="preserve">the </w:t>
      </w:r>
      <w:r w:rsidR="00FE7B6B">
        <w:rPr>
          <w:sz w:val="24"/>
          <w:szCs w:val="24"/>
        </w:rPr>
        <w:t xml:space="preserve">community outweighed the benefits from the proposed </w:t>
      </w:r>
      <w:r w:rsidR="00447AFA">
        <w:rPr>
          <w:sz w:val="24"/>
          <w:szCs w:val="24"/>
        </w:rPr>
        <w:t>development</w:t>
      </w:r>
      <w:r w:rsidR="00FE7B6B">
        <w:rPr>
          <w:sz w:val="24"/>
          <w:szCs w:val="24"/>
        </w:rPr>
        <w:t xml:space="preserve">. </w:t>
      </w:r>
    </w:p>
    <w:p w:rsidR="00FD7491" w:rsidRDefault="00F0124C">
      <w:pPr>
        <w:rPr>
          <w:sz w:val="24"/>
          <w:szCs w:val="24"/>
        </w:rPr>
      </w:pPr>
      <w:r>
        <w:rPr>
          <w:sz w:val="24"/>
          <w:szCs w:val="24"/>
        </w:rPr>
        <w:t xml:space="preserve">The </w:t>
      </w:r>
      <w:r w:rsidR="00E660D7">
        <w:rPr>
          <w:sz w:val="24"/>
          <w:szCs w:val="24"/>
        </w:rPr>
        <w:t>Applicant</w:t>
      </w:r>
      <w:r>
        <w:rPr>
          <w:sz w:val="24"/>
          <w:szCs w:val="24"/>
        </w:rPr>
        <w:t xml:space="preserve"> </w:t>
      </w:r>
      <w:r w:rsidR="00B04615">
        <w:rPr>
          <w:sz w:val="24"/>
          <w:szCs w:val="24"/>
        </w:rPr>
        <w:t xml:space="preserve">applied to the </w:t>
      </w:r>
      <w:r w:rsidR="008114A2">
        <w:rPr>
          <w:sz w:val="24"/>
          <w:szCs w:val="24"/>
        </w:rPr>
        <w:t>Tribunal</w:t>
      </w:r>
      <w:r w:rsidR="00B04615">
        <w:rPr>
          <w:sz w:val="24"/>
          <w:szCs w:val="24"/>
        </w:rPr>
        <w:t xml:space="preserve"> to review the VCGLR's decision and in so </w:t>
      </w:r>
      <w:r w:rsidR="003D0929">
        <w:rPr>
          <w:sz w:val="24"/>
          <w:szCs w:val="24"/>
        </w:rPr>
        <w:t>doing amended</w:t>
      </w:r>
      <w:r w:rsidR="00AE5BF7">
        <w:rPr>
          <w:sz w:val="24"/>
          <w:szCs w:val="24"/>
        </w:rPr>
        <w:t xml:space="preserve"> their application from 19 to 14 EGMs </w:t>
      </w:r>
      <w:r w:rsidR="00BE2D7D">
        <w:rPr>
          <w:sz w:val="24"/>
          <w:szCs w:val="24"/>
        </w:rPr>
        <w:t>and the proposed redevelopment to $4 million.</w:t>
      </w:r>
      <w:r w:rsidR="00C44187">
        <w:rPr>
          <w:sz w:val="24"/>
          <w:szCs w:val="24"/>
        </w:rPr>
        <w:t xml:space="preserve"> </w:t>
      </w:r>
      <w:r w:rsidR="008114A2">
        <w:rPr>
          <w:sz w:val="24"/>
          <w:szCs w:val="24"/>
        </w:rPr>
        <w:t>The Tribunal</w:t>
      </w:r>
      <w:r w:rsidR="006935E8">
        <w:rPr>
          <w:sz w:val="24"/>
          <w:szCs w:val="24"/>
        </w:rPr>
        <w:t xml:space="preserve"> </w:t>
      </w:r>
      <w:r w:rsidR="008114A2">
        <w:rPr>
          <w:sz w:val="24"/>
          <w:szCs w:val="24"/>
        </w:rPr>
        <w:t xml:space="preserve">overturned the VCGLR's decision </w:t>
      </w:r>
      <w:r w:rsidR="007C34BC">
        <w:rPr>
          <w:sz w:val="24"/>
          <w:szCs w:val="24"/>
        </w:rPr>
        <w:t>determin</w:t>
      </w:r>
      <w:r w:rsidR="008114A2">
        <w:rPr>
          <w:sz w:val="24"/>
          <w:szCs w:val="24"/>
        </w:rPr>
        <w:t>ing</w:t>
      </w:r>
      <w:r w:rsidR="006935E8">
        <w:rPr>
          <w:sz w:val="24"/>
          <w:szCs w:val="24"/>
        </w:rPr>
        <w:t xml:space="preserve"> the </w:t>
      </w:r>
      <w:r w:rsidR="00DC11F4">
        <w:rPr>
          <w:sz w:val="24"/>
          <w:szCs w:val="24"/>
        </w:rPr>
        <w:t xml:space="preserve">proposed development provided </w:t>
      </w:r>
      <w:r w:rsidR="004320A5">
        <w:rPr>
          <w:sz w:val="24"/>
          <w:szCs w:val="24"/>
        </w:rPr>
        <w:t>significant</w:t>
      </w:r>
      <w:r w:rsidR="00DC11F4">
        <w:rPr>
          <w:sz w:val="24"/>
          <w:szCs w:val="24"/>
        </w:rPr>
        <w:t xml:space="preserve"> benefits</w:t>
      </w:r>
      <w:r w:rsidR="007C34BC">
        <w:rPr>
          <w:sz w:val="24"/>
          <w:szCs w:val="24"/>
        </w:rPr>
        <w:t>,</w:t>
      </w:r>
      <w:r w:rsidR="00DC11F4">
        <w:rPr>
          <w:sz w:val="24"/>
          <w:szCs w:val="24"/>
        </w:rPr>
        <w:t xml:space="preserve"> which outweighed the potential </w:t>
      </w:r>
      <w:r w:rsidR="007C34BC">
        <w:rPr>
          <w:sz w:val="24"/>
          <w:szCs w:val="24"/>
        </w:rPr>
        <w:t xml:space="preserve">detrimental </w:t>
      </w:r>
      <w:r w:rsidR="00DC11F4">
        <w:rPr>
          <w:sz w:val="24"/>
          <w:szCs w:val="24"/>
        </w:rPr>
        <w:t xml:space="preserve">impacts on the residents living in the area. </w:t>
      </w:r>
    </w:p>
    <w:p w:rsidR="00FE7B6B" w:rsidRDefault="00FE7B6B">
      <w:pPr>
        <w:rPr>
          <w:sz w:val="24"/>
          <w:szCs w:val="24"/>
        </w:rPr>
      </w:pPr>
      <w:r>
        <w:rPr>
          <w:sz w:val="24"/>
          <w:szCs w:val="24"/>
        </w:rPr>
        <w:t xml:space="preserve">The Yarraville Club VCGLR application </w:t>
      </w:r>
      <w:r w:rsidR="000A2B61">
        <w:rPr>
          <w:sz w:val="24"/>
          <w:szCs w:val="24"/>
        </w:rPr>
        <w:t>included a proposed increase of 25 EGM</w:t>
      </w:r>
      <w:r w:rsidR="008114A2">
        <w:rPr>
          <w:sz w:val="24"/>
          <w:szCs w:val="24"/>
        </w:rPr>
        <w:t>s</w:t>
      </w:r>
      <w:r w:rsidR="000A2B61">
        <w:rPr>
          <w:sz w:val="24"/>
          <w:szCs w:val="24"/>
        </w:rPr>
        <w:t xml:space="preserve"> from 78 to 103. </w:t>
      </w:r>
      <w:r w:rsidR="00FC33DA">
        <w:rPr>
          <w:sz w:val="24"/>
          <w:szCs w:val="24"/>
        </w:rPr>
        <w:t xml:space="preserve"> </w:t>
      </w:r>
      <w:r w:rsidR="00DA3EEA">
        <w:rPr>
          <w:sz w:val="24"/>
          <w:szCs w:val="24"/>
        </w:rPr>
        <w:t>It also included a $1 million redevelopment proposal for the venue.</w:t>
      </w:r>
      <w:r w:rsidR="00FC33DA">
        <w:rPr>
          <w:sz w:val="24"/>
          <w:szCs w:val="24"/>
        </w:rPr>
        <w:t xml:space="preserve"> </w:t>
      </w:r>
      <w:r w:rsidR="008114A2">
        <w:rPr>
          <w:sz w:val="24"/>
          <w:szCs w:val="24"/>
        </w:rPr>
        <w:t>Council submitted</w:t>
      </w:r>
      <w:r w:rsidR="00DA3EEA">
        <w:rPr>
          <w:sz w:val="24"/>
          <w:szCs w:val="24"/>
        </w:rPr>
        <w:t xml:space="preserve"> to the VCGLR, </w:t>
      </w:r>
      <w:r w:rsidR="0074176C">
        <w:rPr>
          <w:sz w:val="24"/>
          <w:szCs w:val="24"/>
        </w:rPr>
        <w:t>the extra revenue generated by the increase in EGMs, the attractiveness of the venue to local residents and the potential for further redevelopment of the venue</w:t>
      </w:r>
      <w:r w:rsidR="008114A2">
        <w:rPr>
          <w:sz w:val="24"/>
          <w:szCs w:val="24"/>
        </w:rPr>
        <w:t xml:space="preserve"> would result in a negative impact on the local community</w:t>
      </w:r>
      <w:r w:rsidR="0074176C">
        <w:rPr>
          <w:sz w:val="24"/>
          <w:szCs w:val="24"/>
        </w:rPr>
        <w:t xml:space="preserve">. </w:t>
      </w:r>
    </w:p>
    <w:p w:rsidR="00A9776D" w:rsidRDefault="00A9776D">
      <w:pPr>
        <w:rPr>
          <w:rFonts w:eastAsia="Times New Roman" w:cs="Times New Roman"/>
          <w:b/>
          <w:bCs/>
          <w:kern w:val="32"/>
          <w:sz w:val="24"/>
          <w:szCs w:val="24"/>
        </w:rPr>
      </w:pPr>
      <w:r>
        <w:rPr>
          <w:rFonts w:eastAsia="Times New Roman" w:cs="Times New Roman"/>
          <w:b/>
          <w:bCs/>
          <w:kern w:val="32"/>
          <w:sz w:val="24"/>
          <w:szCs w:val="24"/>
        </w:rPr>
        <w:br w:type="page"/>
      </w:r>
    </w:p>
    <w:p w:rsidR="00F24DE9" w:rsidRDefault="00BF736C" w:rsidP="001B57D0">
      <w:pPr>
        <w:pStyle w:val="Heading1"/>
        <w:rPr>
          <w:rFonts w:asciiTheme="minorHAnsi" w:hAnsiTheme="minorHAnsi"/>
          <w:sz w:val="28"/>
          <w:szCs w:val="28"/>
        </w:rPr>
      </w:pPr>
      <w:bookmarkStart w:id="4" w:name="_Toc446348711"/>
      <w:r>
        <w:rPr>
          <w:rFonts w:asciiTheme="minorHAnsi" w:hAnsiTheme="minorHAnsi"/>
          <w:sz w:val="28"/>
          <w:szCs w:val="28"/>
        </w:rPr>
        <w:t>The Causes and Impacts</w:t>
      </w:r>
      <w:r w:rsidR="00E30B8A" w:rsidRPr="00A403DE">
        <w:rPr>
          <w:rFonts w:asciiTheme="minorHAnsi" w:hAnsiTheme="minorHAnsi"/>
          <w:sz w:val="28"/>
          <w:szCs w:val="28"/>
        </w:rPr>
        <w:t xml:space="preserve"> of Problem Gambling</w:t>
      </w:r>
      <w:bookmarkEnd w:id="4"/>
    </w:p>
    <w:p w:rsidR="00B5494A" w:rsidRPr="006D7C2C" w:rsidRDefault="00B5494A" w:rsidP="00B5494A">
      <w:pPr>
        <w:pStyle w:val="Heading2"/>
        <w:rPr>
          <w:rFonts w:asciiTheme="minorHAnsi" w:hAnsiTheme="minorHAnsi"/>
          <w:color w:val="auto"/>
          <w:sz w:val="24"/>
          <w:szCs w:val="24"/>
        </w:rPr>
      </w:pPr>
      <w:bookmarkStart w:id="5" w:name="_Toc446348712"/>
      <w:r w:rsidRPr="006D7C2C">
        <w:rPr>
          <w:rFonts w:asciiTheme="minorHAnsi" w:hAnsiTheme="minorHAnsi"/>
          <w:color w:val="auto"/>
          <w:sz w:val="24"/>
          <w:szCs w:val="24"/>
        </w:rPr>
        <w:t>Defining Problem Gambling in Victoria</w:t>
      </w:r>
      <w:bookmarkEnd w:id="5"/>
    </w:p>
    <w:p w:rsidR="00B5494A" w:rsidRDefault="00B5494A" w:rsidP="00B5494A">
      <w:pPr>
        <w:rPr>
          <w:rFonts w:cs="Arial"/>
          <w:sz w:val="24"/>
        </w:rPr>
      </w:pPr>
      <w:r w:rsidRPr="00BD4E51">
        <w:rPr>
          <w:rFonts w:cs="Arial"/>
          <w:sz w:val="24"/>
        </w:rPr>
        <w:t>The Victorian Competition and Efficiency Commission estimates the social and economic costs of problem gambling in Victoria is likely to between $1.5 billion and $2.8 billion (in 2010-11 values).</w:t>
      </w:r>
    </w:p>
    <w:p w:rsidR="00B5494A" w:rsidRPr="002773A3" w:rsidRDefault="00B5494A" w:rsidP="00B5494A">
      <w:pPr>
        <w:rPr>
          <w:rFonts w:cs="Arial"/>
          <w:sz w:val="24"/>
        </w:rPr>
      </w:pPr>
      <w:r>
        <w:rPr>
          <w:rFonts w:cs="Arial"/>
          <w:sz w:val="24"/>
        </w:rPr>
        <w:t xml:space="preserve">The Adelaide University Paper </w:t>
      </w:r>
      <w:r w:rsidRPr="002548DA">
        <w:rPr>
          <w:rFonts w:cs="Arial"/>
          <w:i/>
          <w:sz w:val="24"/>
        </w:rPr>
        <w:t>Problem Gambling and Harm: Towards a National Definition</w:t>
      </w:r>
      <w:r>
        <w:rPr>
          <w:rFonts w:cs="Arial"/>
          <w:sz w:val="24"/>
        </w:rPr>
        <w:t xml:space="preserve"> defines problem gambling </w:t>
      </w:r>
      <w:r w:rsidRPr="00BD4E51">
        <w:rPr>
          <w:rFonts w:cs="Arial"/>
          <w:sz w:val="24"/>
        </w:rPr>
        <w:t>as follows:</w:t>
      </w:r>
    </w:p>
    <w:p w:rsidR="00B5494A" w:rsidRPr="00E754DE" w:rsidRDefault="00B5494A" w:rsidP="00B5494A">
      <w:pPr>
        <w:ind w:left="720" w:right="662"/>
        <w:rPr>
          <w:b/>
          <w:i/>
          <w:sz w:val="24"/>
          <w:szCs w:val="20"/>
          <w:lang w:eastAsia="en-US"/>
        </w:rPr>
      </w:pPr>
      <w:r w:rsidRPr="00E754DE">
        <w:rPr>
          <w:b/>
          <w:i/>
          <w:sz w:val="24"/>
          <w:szCs w:val="20"/>
          <w:lang w:eastAsia="en-US"/>
        </w:rPr>
        <w:t>Problem gambling is characterised by difficulties in limiting money and/or time spent on gambling which leads to adverse consequences for the gambler, others, or for the community.</w:t>
      </w:r>
    </w:p>
    <w:p w:rsidR="00B5494A" w:rsidRDefault="00B5494A" w:rsidP="00B5494A">
      <w:pPr>
        <w:rPr>
          <w:rFonts w:cs="Arial"/>
          <w:sz w:val="24"/>
        </w:rPr>
      </w:pPr>
      <w:r w:rsidRPr="00BD4E51">
        <w:rPr>
          <w:rFonts w:cs="Arial"/>
          <w:sz w:val="24"/>
        </w:rPr>
        <w:t xml:space="preserve">Thus, the concept of problem gambling is the recognition that gambling can cause harm, and that this has adverse consequences for many in the community, including the gambler and many others. </w:t>
      </w:r>
    </w:p>
    <w:p w:rsidR="00B5494A" w:rsidRPr="002773A3" w:rsidRDefault="00B5494A" w:rsidP="00B5494A">
      <w:pPr>
        <w:rPr>
          <w:rFonts w:cs="Arial"/>
          <w:sz w:val="24"/>
        </w:rPr>
      </w:pPr>
      <w:r w:rsidRPr="00BD4E51">
        <w:rPr>
          <w:rFonts w:cs="Arial"/>
          <w:sz w:val="24"/>
        </w:rPr>
        <w:t xml:space="preserve">To characterise gambling harm as ‘problem gambling’ is a limitation on the actual nature of this problem, and in any event is at odds with </w:t>
      </w:r>
      <w:r>
        <w:rPr>
          <w:rFonts w:cs="Arial"/>
          <w:sz w:val="24"/>
        </w:rPr>
        <w:t xml:space="preserve">the above </w:t>
      </w:r>
      <w:r w:rsidRPr="00BD4E51">
        <w:rPr>
          <w:rFonts w:cs="Arial"/>
          <w:sz w:val="24"/>
        </w:rPr>
        <w:t>definition.</w:t>
      </w:r>
      <w:r>
        <w:rPr>
          <w:rFonts w:cs="Arial"/>
          <w:sz w:val="24"/>
        </w:rPr>
        <w:t xml:space="preserve"> </w:t>
      </w:r>
      <w:r w:rsidRPr="00BD4E51">
        <w:rPr>
          <w:rFonts w:cs="Arial"/>
          <w:sz w:val="24"/>
        </w:rPr>
        <w:t xml:space="preserve">Council’s focus is </w:t>
      </w:r>
      <w:r>
        <w:rPr>
          <w:rFonts w:cs="Arial"/>
          <w:sz w:val="24"/>
        </w:rPr>
        <w:t>to ensure</w:t>
      </w:r>
      <w:r w:rsidRPr="00BD4E51">
        <w:rPr>
          <w:rFonts w:cs="Arial"/>
          <w:sz w:val="24"/>
        </w:rPr>
        <w:t xml:space="preserve"> gambling harms are reduced in order to reduce as far as possible the incidence of problem gambling, and the harmful effects on others of gambling.</w:t>
      </w:r>
    </w:p>
    <w:p w:rsidR="0098753F" w:rsidRPr="008F23FE" w:rsidRDefault="0098753F" w:rsidP="008F23FE">
      <w:pPr>
        <w:pStyle w:val="Heading2"/>
        <w:rPr>
          <w:rFonts w:asciiTheme="minorHAnsi" w:hAnsiTheme="minorHAnsi"/>
          <w:color w:val="auto"/>
          <w:sz w:val="24"/>
          <w:szCs w:val="24"/>
        </w:rPr>
      </w:pPr>
      <w:bookmarkStart w:id="6" w:name="_Toc446348713"/>
      <w:r w:rsidRPr="008F23FE">
        <w:rPr>
          <w:rFonts w:asciiTheme="minorHAnsi" w:hAnsiTheme="minorHAnsi"/>
          <w:color w:val="auto"/>
          <w:sz w:val="24"/>
          <w:szCs w:val="24"/>
        </w:rPr>
        <w:t>Background</w:t>
      </w:r>
      <w:bookmarkEnd w:id="6"/>
    </w:p>
    <w:p w:rsidR="0095320B" w:rsidRDefault="00A81666" w:rsidP="00043D27">
      <w:pPr>
        <w:rPr>
          <w:rFonts w:ascii="Calibri" w:hAnsi="Calibri" w:cs="Arial"/>
          <w:sz w:val="24"/>
        </w:rPr>
      </w:pPr>
      <w:r>
        <w:rPr>
          <w:rFonts w:ascii="Calibri" w:hAnsi="Calibri"/>
          <w:sz w:val="24"/>
        </w:rPr>
        <w:t xml:space="preserve">It is estimated there are between 80,000 to 160,000 people in Australia who could be classified as problem gamblers </w:t>
      </w:r>
      <w:r w:rsidR="007C34BC">
        <w:rPr>
          <w:rFonts w:ascii="Calibri" w:hAnsi="Calibri"/>
          <w:sz w:val="24"/>
        </w:rPr>
        <w:t xml:space="preserve">(i.e. people who score 8 or more on the Problem Gambling Severity Index, or PGSI). </w:t>
      </w:r>
      <w:r w:rsidR="00276779">
        <w:rPr>
          <w:rFonts w:ascii="Calibri" w:hAnsi="Calibri"/>
          <w:sz w:val="24"/>
        </w:rPr>
        <w:t xml:space="preserve"> </w:t>
      </w:r>
      <w:r w:rsidR="007C34BC">
        <w:rPr>
          <w:rFonts w:ascii="Calibri" w:hAnsi="Calibri"/>
          <w:sz w:val="24"/>
        </w:rPr>
        <w:t xml:space="preserve">In addition, there are </w:t>
      </w:r>
      <w:r>
        <w:rPr>
          <w:rFonts w:ascii="Calibri" w:hAnsi="Calibri"/>
          <w:sz w:val="24"/>
        </w:rPr>
        <w:t xml:space="preserve">between 230,000 and 350,000 people who are moderate risk gamblers </w:t>
      </w:r>
      <w:r w:rsidR="007C34BC">
        <w:rPr>
          <w:rFonts w:ascii="Calibri" w:hAnsi="Calibri"/>
          <w:sz w:val="24"/>
        </w:rPr>
        <w:t xml:space="preserve">(i.e. who score from 3 to 7 on the PGSI) </w:t>
      </w:r>
      <w:r>
        <w:rPr>
          <w:rFonts w:ascii="Calibri" w:hAnsi="Calibri"/>
          <w:sz w:val="24"/>
        </w:rPr>
        <w:t xml:space="preserve">who experience lower levels of harm and who may progress to problem gambling. </w:t>
      </w:r>
      <w:r w:rsidR="00FC33DA">
        <w:rPr>
          <w:rFonts w:ascii="Calibri" w:hAnsi="Calibri"/>
          <w:sz w:val="24"/>
        </w:rPr>
        <w:t xml:space="preserve"> </w:t>
      </w:r>
      <w:r w:rsidR="007C34BC">
        <w:rPr>
          <w:rFonts w:ascii="Calibri" w:hAnsi="Calibri" w:cs="Arial"/>
          <w:sz w:val="24"/>
        </w:rPr>
        <w:t xml:space="preserve">About </w:t>
      </w:r>
      <w:r w:rsidR="00691BCB">
        <w:rPr>
          <w:rFonts w:ascii="Calibri" w:hAnsi="Calibri" w:cs="Arial"/>
          <w:sz w:val="24"/>
        </w:rPr>
        <w:t xml:space="preserve">1 per cent </w:t>
      </w:r>
      <w:r w:rsidR="004149A2">
        <w:rPr>
          <w:rFonts w:ascii="Calibri" w:hAnsi="Calibri" w:cs="Arial"/>
          <w:sz w:val="24"/>
        </w:rPr>
        <w:t xml:space="preserve">of Victoria’s population </w:t>
      </w:r>
      <w:r w:rsidR="00276779">
        <w:rPr>
          <w:rFonts w:ascii="Calibri" w:hAnsi="Calibri" w:cs="Arial"/>
          <w:sz w:val="24"/>
        </w:rPr>
        <w:t>are</w:t>
      </w:r>
      <w:r w:rsidR="004149A2">
        <w:rPr>
          <w:rFonts w:ascii="Calibri" w:hAnsi="Calibri" w:cs="Arial"/>
          <w:sz w:val="24"/>
        </w:rPr>
        <w:t xml:space="preserve"> problem gamblers. </w:t>
      </w:r>
    </w:p>
    <w:p w:rsidR="00043D27" w:rsidRPr="00DF3CD6" w:rsidRDefault="00043D27" w:rsidP="00043D27">
      <w:pPr>
        <w:rPr>
          <w:rFonts w:ascii="Calibri" w:hAnsi="Calibri" w:cs="Arial"/>
          <w:b/>
          <w:i/>
          <w:sz w:val="24"/>
        </w:rPr>
      </w:pPr>
      <w:r w:rsidRPr="00DF3CD6">
        <w:rPr>
          <w:rFonts w:ascii="Calibri" w:hAnsi="Calibri" w:cs="Arial"/>
          <w:b/>
          <w:i/>
          <w:sz w:val="24"/>
        </w:rPr>
        <w:t>The Victoria</w:t>
      </w:r>
      <w:r w:rsidR="009A7096">
        <w:rPr>
          <w:rFonts w:ascii="Calibri" w:hAnsi="Calibri" w:cs="Arial"/>
          <w:b/>
          <w:i/>
          <w:sz w:val="24"/>
        </w:rPr>
        <w:t>n</w:t>
      </w:r>
      <w:r w:rsidRPr="00DF3CD6">
        <w:rPr>
          <w:rFonts w:ascii="Calibri" w:hAnsi="Calibri" w:cs="Arial"/>
          <w:b/>
          <w:i/>
          <w:sz w:val="24"/>
        </w:rPr>
        <w:t xml:space="preserve"> Competition and Effi</w:t>
      </w:r>
      <w:r w:rsidR="00FC2FEC" w:rsidRPr="00DF3CD6">
        <w:rPr>
          <w:rFonts w:ascii="Calibri" w:hAnsi="Calibri" w:cs="Arial"/>
          <w:b/>
          <w:i/>
          <w:sz w:val="24"/>
        </w:rPr>
        <w:t>ciency</w:t>
      </w:r>
      <w:r w:rsidRPr="00DF3CD6">
        <w:rPr>
          <w:rFonts w:ascii="Calibri" w:hAnsi="Calibri" w:cs="Arial"/>
          <w:b/>
          <w:i/>
          <w:sz w:val="24"/>
        </w:rPr>
        <w:t xml:space="preserve"> Commission estimates that the social and economic costs of program ga</w:t>
      </w:r>
      <w:r w:rsidR="00B102DA" w:rsidRPr="00DF3CD6">
        <w:rPr>
          <w:rFonts w:ascii="Calibri" w:hAnsi="Calibri" w:cs="Arial"/>
          <w:b/>
          <w:i/>
          <w:sz w:val="24"/>
        </w:rPr>
        <w:t xml:space="preserve">mbling in Victoria </w:t>
      </w:r>
      <w:r w:rsidR="009A7096">
        <w:rPr>
          <w:rFonts w:ascii="Calibri" w:hAnsi="Calibri" w:cs="Arial"/>
          <w:b/>
          <w:i/>
          <w:sz w:val="24"/>
        </w:rPr>
        <w:t xml:space="preserve">was </w:t>
      </w:r>
      <w:r w:rsidR="00B102DA" w:rsidRPr="00DF3CD6">
        <w:rPr>
          <w:rFonts w:ascii="Calibri" w:hAnsi="Calibri" w:cs="Arial"/>
          <w:b/>
          <w:i/>
          <w:sz w:val="24"/>
        </w:rPr>
        <w:t>likel</w:t>
      </w:r>
      <w:r w:rsidRPr="00DF3CD6">
        <w:rPr>
          <w:rFonts w:ascii="Calibri" w:hAnsi="Calibri" w:cs="Arial"/>
          <w:b/>
          <w:i/>
          <w:sz w:val="24"/>
        </w:rPr>
        <w:t>y to between $1.5 billion and $2.8 billion in 2010-11</w:t>
      </w:r>
      <w:r w:rsidR="007C34BC">
        <w:rPr>
          <w:rFonts w:ascii="Calibri" w:hAnsi="Calibri" w:cs="Arial"/>
          <w:b/>
          <w:i/>
          <w:sz w:val="24"/>
        </w:rPr>
        <w:t xml:space="preserve"> values</w:t>
      </w:r>
      <w:r w:rsidRPr="00DF3CD6">
        <w:rPr>
          <w:rFonts w:ascii="Calibri" w:hAnsi="Calibri" w:cs="Arial"/>
          <w:b/>
          <w:i/>
          <w:sz w:val="24"/>
        </w:rPr>
        <w:t>.</w:t>
      </w:r>
    </w:p>
    <w:p w:rsidR="00FF6E9E" w:rsidRDefault="00FF6E9E" w:rsidP="00407ABF">
      <w:pPr>
        <w:rPr>
          <w:rFonts w:ascii="Calibri" w:hAnsi="Calibri"/>
          <w:sz w:val="24"/>
        </w:rPr>
      </w:pPr>
      <w:r>
        <w:rPr>
          <w:rFonts w:ascii="Calibri" w:hAnsi="Calibri"/>
          <w:sz w:val="24"/>
        </w:rPr>
        <w:t>Problem gambling occurs across all forms of gambling from EGM gambling to wagering.</w:t>
      </w:r>
      <w:r w:rsidR="00FC33DA">
        <w:rPr>
          <w:rFonts w:ascii="Calibri" w:hAnsi="Calibri"/>
          <w:sz w:val="24"/>
        </w:rPr>
        <w:t xml:space="preserve"> </w:t>
      </w:r>
      <w:r>
        <w:rPr>
          <w:rFonts w:ascii="Calibri" w:hAnsi="Calibri"/>
          <w:sz w:val="24"/>
        </w:rPr>
        <w:t xml:space="preserve"> The increase in online wagering has seen an increase in problem gambling </w:t>
      </w:r>
      <w:r w:rsidR="001577B3">
        <w:rPr>
          <w:rFonts w:ascii="Calibri" w:hAnsi="Calibri"/>
          <w:sz w:val="24"/>
        </w:rPr>
        <w:t xml:space="preserve">rates </w:t>
      </w:r>
      <w:r>
        <w:rPr>
          <w:rFonts w:ascii="Calibri" w:hAnsi="Calibri"/>
          <w:sz w:val="24"/>
        </w:rPr>
        <w:t>with young men who are the main target of online wagering advertising.</w:t>
      </w:r>
    </w:p>
    <w:p w:rsidR="00A741D9" w:rsidRDefault="00043D27" w:rsidP="00407ABF">
      <w:pPr>
        <w:rPr>
          <w:rFonts w:ascii="Calibri" w:hAnsi="Calibri"/>
          <w:sz w:val="24"/>
        </w:rPr>
      </w:pPr>
      <w:r>
        <w:rPr>
          <w:rFonts w:ascii="Calibri" w:hAnsi="Calibri" w:cs="Arial"/>
          <w:sz w:val="24"/>
        </w:rPr>
        <w:t xml:space="preserve">According to </w:t>
      </w:r>
      <w:r w:rsidR="0094507C">
        <w:rPr>
          <w:rFonts w:ascii="Calibri" w:hAnsi="Calibri" w:cs="Arial"/>
          <w:sz w:val="24"/>
        </w:rPr>
        <w:t>the Department of Justice</w:t>
      </w:r>
      <w:r w:rsidR="00D53427">
        <w:rPr>
          <w:rFonts w:ascii="Calibri" w:hAnsi="Calibri" w:cs="Arial"/>
          <w:sz w:val="24"/>
        </w:rPr>
        <w:t>'s</w:t>
      </w:r>
      <w:r w:rsidR="0094507C">
        <w:rPr>
          <w:rFonts w:ascii="Calibri" w:hAnsi="Calibri" w:cs="Arial"/>
          <w:sz w:val="24"/>
        </w:rPr>
        <w:t xml:space="preserve"> </w:t>
      </w:r>
      <w:r w:rsidR="007C34BC">
        <w:rPr>
          <w:rFonts w:ascii="Calibri" w:hAnsi="Calibri" w:cs="Arial"/>
          <w:sz w:val="24"/>
        </w:rPr>
        <w:t>longitudinal gambling study</w:t>
      </w:r>
      <w:r w:rsidR="0094507C">
        <w:rPr>
          <w:rFonts w:ascii="Calibri" w:hAnsi="Calibri" w:cs="Arial"/>
          <w:sz w:val="24"/>
        </w:rPr>
        <w:t>,</w:t>
      </w:r>
      <w:r>
        <w:rPr>
          <w:rFonts w:ascii="Calibri" w:hAnsi="Calibri" w:cs="Arial"/>
          <w:sz w:val="24"/>
        </w:rPr>
        <w:t xml:space="preserve"> 91</w:t>
      </w:r>
      <w:r w:rsidR="0001444C">
        <w:rPr>
          <w:rFonts w:ascii="Calibri" w:hAnsi="Calibri" w:cs="Arial"/>
          <w:sz w:val="24"/>
        </w:rPr>
        <w:t xml:space="preserve"> per cent</w:t>
      </w:r>
      <w:r w:rsidR="00E63A70">
        <w:rPr>
          <w:rFonts w:ascii="Calibri" w:hAnsi="Calibri" w:cs="Arial"/>
          <w:sz w:val="24"/>
        </w:rPr>
        <w:t xml:space="preserve"> of problem gamblers and 77 per cent</w:t>
      </w:r>
      <w:r>
        <w:rPr>
          <w:rFonts w:ascii="Calibri" w:hAnsi="Calibri" w:cs="Arial"/>
          <w:sz w:val="24"/>
        </w:rPr>
        <w:t xml:space="preserve"> of</w:t>
      </w:r>
      <w:r w:rsidRPr="00D34574">
        <w:rPr>
          <w:rFonts w:ascii="Calibri" w:hAnsi="Calibri"/>
          <w:sz w:val="24"/>
        </w:rPr>
        <w:t xml:space="preserve"> </w:t>
      </w:r>
      <w:r>
        <w:rPr>
          <w:rFonts w:ascii="Calibri" w:hAnsi="Calibri"/>
          <w:sz w:val="24"/>
        </w:rPr>
        <w:t xml:space="preserve">moderate </w:t>
      </w:r>
      <w:r w:rsidR="007C34BC">
        <w:rPr>
          <w:rFonts w:ascii="Calibri" w:hAnsi="Calibri"/>
          <w:sz w:val="24"/>
        </w:rPr>
        <w:t xml:space="preserve">risk </w:t>
      </w:r>
      <w:r>
        <w:rPr>
          <w:rFonts w:ascii="Calibri" w:hAnsi="Calibri"/>
          <w:sz w:val="24"/>
        </w:rPr>
        <w:t xml:space="preserve">gamblers </w:t>
      </w:r>
      <w:r w:rsidRPr="00D34574">
        <w:rPr>
          <w:rFonts w:ascii="Calibri" w:hAnsi="Calibri"/>
          <w:sz w:val="24"/>
        </w:rPr>
        <w:t>use EGMs</w:t>
      </w:r>
      <w:r>
        <w:rPr>
          <w:rFonts w:ascii="Calibri" w:hAnsi="Calibri"/>
          <w:sz w:val="24"/>
        </w:rPr>
        <w:t xml:space="preserve">. This survey also estimated the problem gambling rate in the North and West Metropolitan region (in which the City of </w:t>
      </w:r>
      <w:r w:rsidR="00777533">
        <w:rPr>
          <w:rFonts w:ascii="Calibri" w:hAnsi="Calibri"/>
          <w:sz w:val="24"/>
        </w:rPr>
        <w:t>Maribyrnong is located) at 1.18 per cent</w:t>
      </w:r>
      <w:r>
        <w:rPr>
          <w:rFonts w:ascii="Calibri" w:hAnsi="Calibri"/>
          <w:sz w:val="24"/>
        </w:rPr>
        <w:t>, wi</w:t>
      </w:r>
      <w:r w:rsidR="0087574A">
        <w:rPr>
          <w:rFonts w:ascii="Calibri" w:hAnsi="Calibri"/>
          <w:sz w:val="24"/>
        </w:rPr>
        <w:t>th a moderate risk rate of 2.66 per cent</w:t>
      </w:r>
      <w:r>
        <w:rPr>
          <w:rFonts w:ascii="Calibri" w:hAnsi="Calibri"/>
          <w:sz w:val="24"/>
        </w:rPr>
        <w:t>.</w:t>
      </w:r>
      <w:r w:rsidR="00D53427">
        <w:rPr>
          <w:rFonts w:ascii="Calibri" w:hAnsi="Calibri"/>
          <w:sz w:val="24"/>
        </w:rPr>
        <w:t xml:space="preserve"> </w:t>
      </w:r>
      <w:r>
        <w:rPr>
          <w:rFonts w:ascii="Calibri" w:hAnsi="Calibri"/>
          <w:sz w:val="24"/>
        </w:rPr>
        <w:t xml:space="preserve">This is significantly above the Victoria average problem and moderate risk </w:t>
      </w:r>
      <w:r w:rsidR="00796528">
        <w:rPr>
          <w:rFonts w:ascii="Calibri" w:hAnsi="Calibri"/>
          <w:sz w:val="24"/>
        </w:rPr>
        <w:t>gambling rates of 0.7 per cent</w:t>
      </w:r>
      <w:r w:rsidR="00787629">
        <w:rPr>
          <w:rFonts w:ascii="Calibri" w:hAnsi="Calibri"/>
          <w:sz w:val="24"/>
        </w:rPr>
        <w:t xml:space="preserve"> and 2.36 per cent</w:t>
      </w:r>
      <w:r>
        <w:rPr>
          <w:rFonts w:ascii="Calibri" w:hAnsi="Calibri"/>
          <w:sz w:val="24"/>
        </w:rPr>
        <w:t xml:space="preserve"> respectively.</w:t>
      </w:r>
      <w:r w:rsidR="007C34BC">
        <w:rPr>
          <w:rFonts w:ascii="Calibri" w:hAnsi="Calibri"/>
          <w:sz w:val="24"/>
        </w:rPr>
        <w:t xml:space="preserve"> The Aus</w:t>
      </w:r>
      <w:r w:rsidR="00796528">
        <w:rPr>
          <w:rFonts w:ascii="Calibri" w:hAnsi="Calibri"/>
          <w:sz w:val="24"/>
        </w:rPr>
        <w:t>tralian government estimates 75 per cent</w:t>
      </w:r>
      <w:r w:rsidR="007C34BC">
        <w:rPr>
          <w:rFonts w:ascii="Calibri" w:hAnsi="Calibri"/>
          <w:sz w:val="24"/>
        </w:rPr>
        <w:t xml:space="preserve"> of gambling problems are primarily associated with EGMs.</w:t>
      </w:r>
    </w:p>
    <w:p w:rsidR="00B13CE9" w:rsidRDefault="00A741D9" w:rsidP="00407ABF">
      <w:pPr>
        <w:rPr>
          <w:rFonts w:ascii="Calibri" w:hAnsi="Calibri"/>
          <w:sz w:val="24"/>
        </w:rPr>
      </w:pPr>
      <w:r>
        <w:rPr>
          <w:rFonts w:ascii="Calibri" w:hAnsi="Calibri"/>
          <w:sz w:val="24"/>
        </w:rPr>
        <w:t>The Productivity Commission Inquiry into Gambling report estimates</w:t>
      </w:r>
      <w:r w:rsidR="004A71DF">
        <w:rPr>
          <w:rFonts w:ascii="Calibri" w:hAnsi="Calibri"/>
          <w:sz w:val="24"/>
        </w:rPr>
        <w:t xml:space="preserve"> problem gambl</w:t>
      </w:r>
      <w:r w:rsidR="00C86F46">
        <w:rPr>
          <w:rFonts w:ascii="Calibri" w:hAnsi="Calibri"/>
          <w:sz w:val="24"/>
        </w:rPr>
        <w:t>ers account for between 22-60 per cent (with an average of 41 per cent</w:t>
      </w:r>
      <w:r w:rsidR="004A71DF">
        <w:rPr>
          <w:rFonts w:ascii="Calibri" w:hAnsi="Calibri"/>
          <w:sz w:val="24"/>
        </w:rPr>
        <w:t>) of total expenditure from EGMs in Australi</w:t>
      </w:r>
      <w:r w:rsidR="00DB7414">
        <w:rPr>
          <w:rFonts w:ascii="Calibri" w:hAnsi="Calibri"/>
          <w:sz w:val="24"/>
        </w:rPr>
        <w:t>a.</w:t>
      </w:r>
      <w:r w:rsidR="00FC33DA">
        <w:rPr>
          <w:rFonts w:ascii="Calibri" w:hAnsi="Calibri"/>
          <w:sz w:val="24"/>
        </w:rPr>
        <w:t xml:space="preserve"> </w:t>
      </w:r>
      <w:r w:rsidR="007C34BC">
        <w:rPr>
          <w:rFonts w:ascii="Calibri" w:hAnsi="Calibri"/>
          <w:sz w:val="24"/>
        </w:rPr>
        <w:t>Moderate risk gamblers are estimated t</w:t>
      </w:r>
      <w:r w:rsidR="00C86F46">
        <w:rPr>
          <w:rFonts w:ascii="Calibri" w:hAnsi="Calibri"/>
          <w:sz w:val="24"/>
        </w:rPr>
        <w:t xml:space="preserve">o account for an additional 20 per cent </w:t>
      </w:r>
      <w:r w:rsidR="007C34BC">
        <w:rPr>
          <w:rFonts w:ascii="Calibri" w:hAnsi="Calibri"/>
          <w:sz w:val="24"/>
        </w:rPr>
        <w:t>of EGM expenditure.</w:t>
      </w:r>
    </w:p>
    <w:p w:rsidR="00173F5E" w:rsidRDefault="00167564" w:rsidP="00407ABF">
      <w:pPr>
        <w:rPr>
          <w:rFonts w:ascii="Calibri" w:hAnsi="Calibri"/>
          <w:b/>
          <w:i/>
          <w:sz w:val="24"/>
        </w:rPr>
      </w:pPr>
      <w:r>
        <w:rPr>
          <w:rFonts w:cstheme="minorHAnsi"/>
          <w:b/>
          <w:i/>
          <w:sz w:val="24"/>
          <w:szCs w:val="24"/>
        </w:rPr>
        <w:t>If the average of 41 per cent</w:t>
      </w:r>
      <w:r w:rsidR="004732F9" w:rsidRPr="00B13CE9">
        <w:rPr>
          <w:rFonts w:cstheme="minorHAnsi"/>
          <w:b/>
          <w:i/>
          <w:sz w:val="24"/>
          <w:szCs w:val="24"/>
        </w:rPr>
        <w:t xml:space="preserve"> is applied to </w:t>
      </w:r>
      <w:r w:rsidR="00042F93" w:rsidRPr="00B13CE9">
        <w:rPr>
          <w:rFonts w:cstheme="minorHAnsi"/>
          <w:b/>
          <w:i/>
          <w:sz w:val="24"/>
          <w:szCs w:val="24"/>
        </w:rPr>
        <w:t xml:space="preserve">the </w:t>
      </w:r>
      <w:r w:rsidR="00487BFF">
        <w:rPr>
          <w:rFonts w:cstheme="minorHAnsi"/>
          <w:b/>
          <w:i/>
          <w:sz w:val="24"/>
          <w:szCs w:val="24"/>
        </w:rPr>
        <w:t xml:space="preserve">City of Maribyrnong EGM </w:t>
      </w:r>
      <w:r w:rsidR="00042F93" w:rsidRPr="00B13CE9">
        <w:rPr>
          <w:rFonts w:cstheme="minorHAnsi"/>
          <w:b/>
          <w:i/>
          <w:sz w:val="24"/>
          <w:szCs w:val="24"/>
        </w:rPr>
        <w:t xml:space="preserve">losses of $52.9 million </w:t>
      </w:r>
      <w:r w:rsidR="00730181" w:rsidRPr="00B13CE9">
        <w:rPr>
          <w:rFonts w:cstheme="minorHAnsi"/>
          <w:b/>
          <w:i/>
          <w:sz w:val="24"/>
          <w:szCs w:val="24"/>
        </w:rPr>
        <w:t xml:space="preserve">in 2014-15, </w:t>
      </w:r>
      <w:r w:rsidR="004732F9" w:rsidRPr="00B13CE9">
        <w:rPr>
          <w:rFonts w:cstheme="minorHAnsi"/>
          <w:b/>
          <w:i/>
          <w:sz w:val="24"/>
          <w:szCs w:val="24"/>
        </w:rPr>
        <w:t xml:space="preserve">the level of </w:t>
      </w:r>
      <w:r w:rsidR="00026B6F" w:rsidRPr="00B13CE9">
        <w:rPr>
          <w:rFonts w:cstheme="minorHAnsi"/>
          <w:b/>
          <w:i/>
          <w:sz w:val="24"/>
          <w:szCs w:val="24"/>
        </w:rPr>
        <w:t xml:space="preserve">losses </w:t>
      </w:r>
      <w:r w:rsidR="004732F9" w:rsidRPr="00B13CE9">
        <w:rPr>
          <w:rFonts w:cstheme="minorHAnsi"/>
          <w:b/>
          <w:i/>
          <w:sz w:val="24"/>
          <w:szCs w:val="24"/>
        </w:rPr>
        <w:t xml:space="preserve">derived from problem gambling </w:t>
      </w:r>
      <w:r w:rsidR="00730181" w:rsidRPr="00B13CE9">
        <w:rPr>
          <w:rFonts w:cstheme="minorHAnsi"/>
          <w:b/>
          <w:i/>
          <w:sz w:val="24"/>
          <w:szCs w:val="24"/>
        </w:rPr>
        <w:t>would be $21.7 million.</w:t>
      </w:r>
      <w:r w:rsidR="007C34BC">
        <w:rPr>
          <w:rFonts w:cstheme="minorHAnsi"/>
          <w:b/>
          <w:i/>
          <w:sz w:val="24"/>
          <w:szCs w:val="24"/>
        </w:rPr>
        <w:t xml:space="preserve"> </w:t>
      </w:r>
      <w:r w:rsidR="00FC33DA">
        <w:rPr>
          <w:rFonts w:cstheme="minorHAnsi"/>
          <w:b/>
          <w:i/>
          <w:sz w:val="24"/>
          <w:szCs w:val="24"/>
        </w:rPr>
        <w:t xml:space="preserve"> </w:t>
      </w:r>
      <w:r w:rsidR="007C34BC">
        <w:rPr>
          <w:rFonts w:cstheme="minorHAnsi"/>
          <w:b/>
          <w:i/>
          <w:sz w:val="24"/>
          <w:szCs w:val="24"/>
        </w:rPr>
        <w:t>An additional $10.6 million would be attributable to moderate risk gamblers.</w:t>
      </w:r>
    </w:p>
    <w:p w:rsidR="00173F5E" w:rsidRPr="008F23FE" w:rsidRDefault="0098753F" w:rsidP="008F23FE">
      <w:pPr>
        <w:pStyle w:val="Heading2"/>
        <w:rPr>
          <w:rFonts w:asciiTheme="minorHAnsi" w:hAnsiTheme="minorHAnsi"/>
          <w:color w:val="auto"/>
          <w:sz w:val="24"/>
          <w:szCs w:val="24"/>
        </w:rPr>
      </w:pPr>
      <w:bookmarkStart w:id="7" w:name="_Toc446348714"/>
      <w:r w:rsidRPr="008F23FE">
        <w:rPr>
          <w:rFonts w:asciiTheme="minorHAnsi" w:hAnsiTheme="minorHAnsi"/>
          <w:color w:val="auto"/>
          <w:sz w:val="24"/>
          <w:szCs w:val="24"/>
        </w:rPr>
        <w:t>Causes of Problem Gambling</w:t>
      </w:r>
      <w:bookmarkEnd w:id="7"/>
    </w:p>
    <w:p w:rsidR="005076A2" w:rsidRDefault="00DA4845" w:rsidP="006560A5">
      <w:pPr>
        <w:rPr>
          <w:sz w:val="24"/>
          <w:szCs w:val="24"/>
        </w:rPr>
      </w:pPr>
      <w:r>
        <w:rPr>
          <w:sz w:val="24"/>
          <w:szCs w:val="24"/>
        </w:rPr>
        <w:t xml:space="preserve">The focus of </w:t>
      </w:r>
      <w:r w:rsidR="006560A5" w:rsidRPr="00F703C7">
        <w:rPr>
          <w:sz w:val="24"/>
          <w:szCs w:val="24"/>
        </w:rPr>
        <w:t xml:space="preserve">problem gambling </w:t>
      </w:r>
      <w:r w:rsidR="005076A2">
        <w:rPr>
          <w:sz w:val="24"/>
          <w:szCs w:val="24"/>
        </w:rPr>
        <w:t>is on</w:t>
      </w:r>
      <w:r w:rsidR="007C34BC">
        <w:rPr>
          <w:sz w:val="24"/>
          <w:szCs w:val="24"/>
        </w:rPr>
        <w:t xml:space="preserve"> </w:t>
      </w:r>
      <w:r>
        <w:rPr>
          <w:sz w:val="24"/>
          <w:szCs w:val="24"/>
        </w:rPr>
        <w:t>individual responsibility. Problem Gamblers are encouraged to take responsibility for their actions and seek support through</w:t>
      </w:r>
      <w:r w:rsidR="000736B5">
        <w:rPr>
          <w:sz w:val="24"/>
          <w:szCs w:val="24"/>
        </w:rPr>
        <w:t xml:space="preserve"> program such as Gamblers Help and the </w:t>
      </w:r>
      <w:r>
        <w:rPr>
          <w:sz w:val="24"/>
          <w:szCs w:val="24"/>
        </w:rPr>
        <w:t>Victorian Government’s Voluntary Pre-comm</w:t>
      </w:r>
      <w:r w:rsidR="000736B5">
        <w:rPr>
          <w:sz w:val="24"/>
          <w:szCs w:val="24"/>
        </w:rPr>
        <w:t>itment P</w:t>
      </w:r>
      <w:r>
        <w:rPr>
          <w:sz w:val="24"/>
          <w:szCs w:val="24"/>
        </w:rPr>
        <w:t>rogram</w:t>
      </w:r>
      <w:r w:rsidR="006560A5" w:rsidRPr="00F703C7">
        <w:rPr>
          <w:sz w:val="24"/>
          <w:szCs w:val="24"/>
        </w:rPr>
        <w:t>.</w:t>
      </w:r>
    </w:p>
    <w:p w:rsidR="004D717A" w:rsidRDefault="004D717A" w:rsidP="006560A5">
      <w:pPr>
        <w:rPr>
          <w:sz w:val="24"/>
          <w:szCs w:val="24"/>
        </w:rPr>
      </w:pPr>
      <w:r>
        <w:rPr>
          <w:sz w:val="24"/>
          <w:szCs w:val="24"/>
        </w:rPr>
        <w:t>However</w:t>
      </w:r>
      <w:r w:rsidR="000736B5">
        <w:rPr>
          <w:sz w:val="24"/>
          <w:szCs w:val="24"/>
        </w:rPr>
        <w:t>,</w:t>
      </w:r>
      <w:r>
        <w:rPr>
          <w:sz w:val="24"/>
          <w:szCs w:val="24"/>
        </w:rPr>
        <w:t xml:space="preserve"> there are a number of </w:t>
      </w:r>
      <w:r w:rsidR="000736B5">
        <w:rPr>
          <w:sz w:val="24"/>
          <w:szCs w:val="24"/>
        </w:rPr>
        <w:t xml:space="preserve">social and environmental </w:t>
      </w:r>
      <w:r>
        <w:rPr>
          <w:sz w:val="24"/>
          <w:szCs w:val="24"/>
        </w:rPr>
        <w:t xml:space="preserve">factors </w:t>
      </w:r>
      <w:r w:rsidR="00F31F67">
        <w:rPr>
          <w:sz w:val="24"/>
          <w:szCs w:val="24"/>
        </w:rPr>
        <w:t>that</w:t>
      </w:r>
      <w:r w:rsidR="00027015">
        <w:rPr>
          <w:sz w:val="24"/>
          <w:szCs w:val="24"/>
        </w:rPr>
        <w:t xml:space="preserve"> </w:t>
      </w:r>
      <w:r w:rsidR="00CF7649">
        <w:rPr>
          <w:sz w:val="24"/>
          <w:szCs w:val="24"/>
        </w:rPr>
        <w:t>contribute to problem gambling.</w:t>
      </w:r>
      <w:r w:rsidR="00FC33DA">
        <w:rPr>
          <w:sz w:val="24"/>
          <w:szCs w:val="24"/>
        </w:rPr>
        <w:t xml:space="preserve"> </w:t>
      </w:r>
      <w:r w:rsidR="007C34BC">
        <w:rPr>
          <w:sz w:val="24"/>
          <w:szCs w:val="24"/>
        </w:rPr>
        <w:t xml:space="preserve"> A public health approach to gambling problems involves careful consideration of environmental, social, ecological, economic and structural factors that contribute to the development of harm from gambling.</w:t>
      </w:r>
      <w:r w:rsidR="00F31F67">
        <w:rPr>
          <w:sz w:val="24"/>
          <w:szCs w:val="24"/>
        </w:rPr>
        <w:t xml:space="preserve"> A public health approach </w:t>
      </w:r>
      <w:r w:rsidR="007C34BC">
        <w:rPr>
          <w:sz w:val="24"/>
          <w:szCs w:val="24"/>
        </w:rPr>
        <w:t>does not emphasise personal responsibility</w:t>
      </w:r>
      <w:r w:rsidR="00EB1543">
        <w:rPr>
          <w:sz w:val="24"/>
          <w:szCs w:val="24"/>
        </w:rPr>
        <w:t>,</w:t>
      </w:r>
      <w:r w:rsidR="007C34BC">
        <w:rPr>
          <w:sz w:val="24"/>
          <w:szCs w:val="24"/>
        </w:rPr>
        <w:t xml:space="preserve"> </w:t>
      </w:r>
      <w:r w:rsidR="00F31F67">
        <w:rPr>
          <w:sz w:val="24"/>
          <w:szCs w:val="24"/>
        </w:rPr>
        <w:t xml:space="preserve">but rather </w:t>
      </w:r>
      <w:r w:rsidR="007C34BC">
        <w:rPr>
          <w:sz w:val="24"/>
          <w:szCs w:val="24"/>
        </w:rPr>
        <w:t>is focused on prevention rather than treatment</w:t>
      </w:r>
      <w:r w:rsidR="005601C6">
        <w:rPr>
          <w:sz w:val="24"/>
          <w:szCs w:val="24"/>
        </w:rPr>
        <w:t>. Where treatment is offered, it</w:t>
      </w:r>
      <w:r w:rsidR="007C34BC">
        <w:rPr>
          <w:sz w:val="24"/>
          <w:szCs w:val="24"/>
        </w:rPr>
        <w:t xml:space="preserve"> should be well funded and as accessible as possible</w:t>
      </w:r>
      <w:r w:rsidR="007E0A0A">
        <w:rPr>
          <w:sz w:val="24"/>
          <w:szCs w:val="24"/>
        </w:rPr>
        <w:t>.</w:t>
      </w:r>
    </w:p>
    <w:p w:rsidR="00027015" w:rsidRPr="004E7A17" w:rsidRDefault="004E7A17" w:rsidP="006560A5">
      <w:pPr>
        <w:rPr>
          <w:rFonts w:ascii="Calibri" w:hAnsi="Calibri"/>
          <w:b/>
          <w:i/>
          <w:sz w:val="24"/>
        </w:rPr>
      </w:pPr>
      <w:r>
        <w:rPr>
          <w:rFonts w:ascii="Calibri" w:hAnsi="Calibri"/>
          <w:b/>
          <w:i/>
          <w:sz w:val="24"/>
        </w:rPr>
        <w:t>Gaming Machine Design</w:t>
      </w:r>
    </w:p>
    <w:p w:rsidR="009A60E4" w:rsidRPr="00EA1461" w:rsidRDefault="009A60E4" w:rsidP="009A60E4">
      <w:pPr>
        <w:spacing w:before="120"/>
        <w:rPr>
          <w:rFonts w:ascii="Calibri" w:hAnsi="Calibri"/>
          <w:iCs/>
          <w:sz w:val="24"/>
          <w:szCs w:val="24"/>
        </w:rPr>
      </w:pPr>
      <w:r w:rsidRPr="00EA1461">
        <w:rPr>
          <w:rFonts w:ascii="Calibri" w:hAnsi="Calibri"/>
          <w:iCs/>
          <w:sz w:val="24"/>
          <w:szCs w:val="24"/>
        </w:rPr>
        <w:t xml:space="preserve">The </w:t>
      </w:r>
      <w:r w:rsidR="00EB0AD6" w:rsidRPr="00EB0AD6">
        <w:rPr>
          <w:rFonts w:ascii="Calibri" w:hAnsi="Calibri"/>
          <w:i/>
          <w:iCs/>
          <w:sz w:val="24"/>
          <w:szCs w:val="24"/>
        </w:rPr>
        <w:t>Gambling Regulation Act 2003</w:t>
      </w:r>
      <w:r>
        <w:rPr>
          <w:rFonts w:ascii="Calibri" w:hAnsi="Calibri"/>
          <w:iCs/>
          <w:sz w:val="24"/>
          <w:szCs w:val="24"/>
        </w:rPr>
        <w:t xml:space="preserve"> </w:t>
      </w:r>
      <w:r w:rsidRPr="00EA1461">
        <w:rPr>
          <w:rFonts w:ascii="Calibri" w:hAnsi="Calibri"/>
          <w:iCs/>
          <w:sz w:val="24"/>
          <w:szCs w:val="24"/>
        </w:rPr>
        <w:t xml:space="preserve">stipulates that the holder of an EGM licence must ensure that the pay-out table on gaming machines at each </w:t>
      </w:r>
      <w:r w:rsidR="00625933">
        <w:rPr>
          <w:rFonts w:ascii="Calibri" w:hAnsi="Calibri"/>
          <w:iCs/>
          <w:sz w:val="24"/>
          <w:szCs w:val="24"/>
        </w:rPr>
        <w:t>venue is set to a minimum of 85 per cent</w:t>
      </w:r>
      <w:r w:rsidRPr="00EA1461">
        <w:rPr>
          <w:rFonts w:ascii="Calibri" w:hAnsi="Calibri"/>
          <w:iCs/>
          <w:sz w:val="24"/>
          <w:szCs w:val="24"/>
        </w:rPr>
        <w:t xml:space="preserve"> return to the player (RTP) of the total amounts wagered each year at that venue, after deduction of the sum of jackpot special prizes determined as prescribed and payable during that year.</w:t>
      </w:r>
      <w:hyperlink r:id="rId14" w:anchor="150eefb6e344a191__edn2" w:history="1">
        <w:r w:rsidRPr="00EA1461">
          <w:rPr>
            <w:iCs/>
            <w:sz w:val="24"/>
            <w:szCs w:val="24"/>
          </w:rPr>
          <w:t>[i]</w:t>
        </w:r>
      </w:hyperlink>
    </w:p>
    <w:p w:rsidR="009A60E4" w:rsidRPr="00EA1461" w:rsidRDefault="00BB10DA" w:rsidP="009A60E4">
      <w:pPr>
        <w:spacing w:before="120"/>
        <w:rPr>
          <w:rFonts w:ascii="Calibri" w:hAnsi="Calibri"/>
          <w:iCs/>
          <w:sz w:val="24"/>
          <w:szCs w:val="24"/>
        </w:rPr>
      </w:pPr>
      <w:r>
        <w:rPr>
          <w:rFonts w:ascii="Calibri" w:hAnsi="Calibri"/>
          <w:iCs/>
          <w:sz w:val="24"/>
          <w:szCs w:val="24"/>
        </w:rPr>
        <w:t xml:space="preserve">In effect, </w:t>
      </w:r>
      <w:r w:rsidR="009A60E4" w:rsidRPr="00EA1461">
        <w:rPr>
          <w:rFonts w:ascii="Calibri" w:hAnsi="Calibri"/>
          <w:iCs/>
          <w:sz w:val="24"/>
          <w:szCs w:val="24"/>
        </w:rPr>
        <w:t>what this means is that a player who arrives at a venue with $10 to ga</w:t>
      </w:r>
      <w:r w:rsidR="00473F19">
        <w:rPr>
          <w:rFonts w:ascii="Calibri" w:hAnsi="Calibri"/>
          <w:iCs/>
          <w:sz w:val="24"/>
          <w:szCs w:val="24"/>
        </w:rPr>
        <w:t>mble will lose an average of 15 per cent</w:t>
      </w:r>
      <w:r w:rsidR="009A60E4" w:rsidRPr="00EA1461">
        <w:rPr>
          <w:rFonts w:ascii="Calibri" w:hAnsi="Calibri"/>
          <w:iCs/>
          <w:sz w:val="24"/>
          <w:szCs w:val="24"/>
        </w:rPr>
        <w:t xml:space="preserve"> of that stake (if the game </w:t>
      </w:r>
      <w:r w:rsidR="0036674C">
        <w:rPr>
          <w:rFonts w:ascii="Calibri" w:hAnsi="Calibri"/>
          <w:iCs/>
          <w:sz w:val="24"/>
          <w:szCs w:val="24"/>
        </w:rPr>
        <w:t>is set to that RTP of 85 per cent</w:t>
      </w:r>
      <w:r w:rsidR="009A60E4" w:rsidRPr="00EA1461">
        <w:rPr>
          <w:rFonts w:ascii="Calibri" w:hAnsi="Calibri"/>
          <w:iCs/>
          <w:sz w:val="24"/>
          <w:szCs w:val="24"/>
        </w:rPr>
        <w:t>) at each bet. Thus, after the first bet the average stake retained will be $8.50; after the second, the average stake retained would be $7.23; after the third, $6.15; and so on until the balance is zero.</w:t>
      </w:r>
    </w:p>
    <w:p w:rsidR="009A60E4" w:rsidRPr="00EA1461" w:rsidRDefault="009A60E4" w:rsidP="009A60E4">
      <w:pPr>
        <w:spacing w:before="120"/>
        <w:rPr>
          <w:rFonts w:ascii="Calibri" w:hAnsi="Calibri"/>
          <w:iCs/>
          <w:sz w:val="24"/>
          <w:szCs w:val="24"/>
        </w:rPr>
      </w:pPr>
      <w:r w:rsidRPr="00EA1461">
        <w:rPr>
          <w:rFonts w:ascii="Calibri" w:hAnsi="Calibri"/>
          <w:iCs/>
          <w:sz w:val="24"/>
          <w:szCs w:val="24"/>
        </w:rPr>
        <w:t>The legislated level of return from EGMs each year does not take account of EGM design and the habits of EGM gamblers and the losses incurred at each session of play. </w:t>
      </w:r>
      <w:r w:rsidR="00FC33DA">
        <w:rPr>
          <w:rFonts w:ascii="Calibri" w:hAnsi="Calibri"/>
          <w:iCs/>
          <w:sz w:val="24"/>
          <w:szCs w:val="24"/>
        </w:rPr>
        <w:t xml:space="preserve"> </w:t>
      </w:r>
      <w:r w:rsidRPr="00EA1461">
        <w:rPr>
          <w:rFonts w:ascii="Calibri" w:hAnsi="Calibri"/>
          <w:iCs/>
          <w:sz w:val="24"/>
          <w:szCs w:val="24"/>
        </w:rPr>
        <w:t>EGMs have the capacity for rapid repetition of games.</w:t>
      </w:r>
      <w:r w:rsidR="00FC33DA">
        <w:rPr>
          <w:rFonts w:ascii="Calibri" w:hAnsi="Calibri"/>
          <w:iCs/>
          <w:sz w:val="24"/>
          <w:szCs w:val="24"/>
        </w:rPr>
        <w:t xml:space="preserve"> </w:t>
      </w:r>
      <w:r w:rsidRPr="00EA1461">
        <w:rPr>
          <w:rFonts w:ascii="Calibri" w:hAnsi="Calibri"/>
          <w:iCs/>
          <w:sz w:val="24"/>
          <w:szCs w:val="24"/>
        </w:rPr>
        <w:t xml:space="preserve">The rapid repetition </w:t>
      </w:r>
      <w:r w:rsidR="00850418" w:rsidRPr="00EA1461">
        <w:rPr>
          <w:rFonts w:ascii="Calibri" w:hAnsi="Calibri"/>
          <w:iCs/>
          <w:sz w:val="24"/>
          <w:szCs w:val="24"/>
        </w:rPr>
        <w:t>allows players</w:t>
      </w:r>
      <w:r w:rsidRPr="00EA1461">
        <w:rPr>
          <w:rFonts w:ascii="Calibri" w:hAnsi="Calibri"/>
          <w:iCs/>
          <w:sz w:val="24"/>
          <w:szCs w:val="24"/>
        </w:rPr>
        <w:t xml:space="preserve"> to continuously place bets on the machines each session, which are often small bets of a dollar or less, but which in Victoria can be $5 per bet. Of course, these are averages. A small proportion of EGM users increase their stake, because they achieve a substantial payout.</w:t>
      </w:r>
    </w:p>
    <w:p w:rsidR="009A60E4" w:rsidRPr="00EA1461" w:rsidRDefault="004363ED" w:rsidP="009A60E4">
      <w:pPr>
        <w:spacing w:before="120"/>
        <w:rPr>
          <w:sz w:val="24"/>
          <w:szCs w:val="24"/>
        </w:rPr>
      </w:pPr>
      <w:r>
        <w:rPr>
          <w:rFonts w:ascii="Calibri" w:hAnsi="Calibri"/>
          <w:sz w:val="24"/>
          <w:szCs w:val="24"/>
        </w:rPr>
        <w:t>T</w:t>
      </w:r>
      <w:r w:rsidR="009A60E4" w:rsidRPr="00EA1461">
        <w:rPr>
          <w:rFonts w:ascii="Calibri" w:hAnsi="Calibri"/>
          <w:sz w:val="24"/>
          <w:szCs w:val="24"/>
        </w:rPr>
        <w:t>he Productivity Commission found the level of return from EGMs is significantly reduced the longer a user utilises a machine.</w:t>
      </w:r>
      <w:r w:rsidR="00FC33DA">
        <w:rPr>
          <w:rFonts w:ascii="Calibri" w:hAnsi="Calibri"/>
          <w:sz w:val="24"/>
          <w:szCs w:val="24"/>
        </w:rPr>
        <w:t xml:space="preserve"> </w:t>
      </w:r>
      <w:r w:rsidR="009A60E4" w:rsidRPr="00EA1461">
        <w:rPr>
          <w:rFonts w:ascii="Calibri" w:hAnsi="Calibri"/>
          <w:sz w:val="24"/>
          <w:szCs w:val="24"/>
        </w:rPr>
        <w:t>Based on 10,000 simulations of actual EGM games with over a 90% rate of return and with free features, moving from 1 hour to 16 hours of play reduces the proportion of people increasing their stake during t</w:t>
      </w:r>
      <w:r w:rsidR="00696661">
        <w:rPr>
          <w:rFonts w:ascii="Calibri" w:hAnsi="Calibri"/>
          <w:sz w:val="24"/>
          <w:szCs w:val="24"/>
        </w:rPr>
        <w:t>he session of use from 30 per cent</w:t>
      </w:r>
      <w:r w:rsidR="002A08AF">
        <w:rPr>
          <w:rFonts w:ascii="Calibri" w:hAnsi="Calibri"/>
          <w:sz w:val="24"/>
          <w:szCs w:val="24"/>
        </w:rPr>
        <w:t xml:space="preserve"> to 7 per cent</w:t>
      </w:r>
      <w:r w:rsidR="009A60E4" w:rsidRPr="00EA1461">
        <w:rPr>
          <w:rFonts w:ascii="Calibri" w:hAnsi="Calibri"/>
          <w:sz w:val="24"/>
          <w:szCs w:val="24"/>
        </w:rPr>
        <w:t>.</w:t>
      </w:r>
    </w:p>
    <w:p w:rsidR="007E0A0A" w:rsidRDefault="00AD60FA" w:rsidP="00407ABF">
      <w:pPr>
        <w:rPr>
          <w:rFonts w:ascii="Calibri" w:hAnsi="Calibri" w:cs="Arial"/>
          <w:sz w:val="24"/>
        </w:rPr>
      </w:pPr>
      <w:r>
        <w:rPr>
          <w:rFonts w:ascii="Calibri" w:hAnsi="Calibri" w:cs="Arial"/>
          <w:sz w:val="24"/>
        </w:rPr>
        <w:t xml:space="preserve">EGM users can </w:t>
      </w:r>
      <w:r w:rsidR="007E0A0A">
        <w:rPr>
          <w:rFonts w:ascii="Calibri" w:hAnsi="Calibri" w:cs="Arial"/>
          <w:sz w:val="24"/>
        </w:rPr>
        <w:t>experience a</w:t>
      </w:r>
      <w:r>
        <w:rPr>
          <w:rFonts w:ascii="Calibri" w:hAnsi="Calibri" w:cs="Arial"/>
          <w:sz w:val="24"/>
        </w:rPr>
        <w:t xml:space="preserve"> sense of dislocation, </w:t>
      </w:r>
      <w:r w:rsidR="007E0A0A">
        <w:rPr>
          <w:rFonts w:ascii="Calibri" w:hAnsi="Calibri" w:cs="Arial"/>
          <w:sz w:val="24"/>
        </w:rPr>
        <w:t>disorientation or disengagement from reality</w:t>
      </w:r>
      <w:r>
        <w:rPr>
          <w:rFonts w:ascii="Calibri" w:hAnsi="Calibri" w:cs="Arial"/>
          <w:sz w:val="24"/>
        </w:rPr>
        <w:t>.</w:t>
      </w:r>
      <w:r w:rsidR="00FC33DA">
        <w:rPr>
          <w:rFonts w:ascii="Calibri" w:hAnsi="Calibri" w:cs="Arial"/>
          <w:sz w:val="24"/>
        </w:rPr>
        <w:t xml:space="preserve"> </w:t>
      </w:r>
      <w:r w:rsidR="007E0A0A">
        <w:rPr>
          <w:rFonts w:ascii="Calibri" w:hAnsi="Calibri" w:cs="Arial"/>
          <w:sz w:val="24"/>
        </w:rPr>
        <w:t xml:space="preserve"> In the case of those with an established gambling addiction this is referred to as being ‘in the zone’.</w:t>
      </w:r>
      <w:r>
        <w:rPr>
          <w:rFonts w:ascii="Calibri" w:hAnsi="Calibri" w:cs="Arial"/>
          <w:sz w:val="24"/>
        </w:rPr>
        <w:t xml:space="preserve"> Many players acknowledge they play EGMs to escape or tune out from a variety of personal situations.</w:t>
      </w:r>
      <w:r w:rsidR="007E0A0A">
        <w:rPr>
          <w:rFonts w:ascii="Calibri" w:hAnsi="Calibri" w:cs="Arial"/>
          <w:sz w:val="24"/>
        </w:rPr>
        <w:t xml:space="preserve"> </w:t>
      </w:r>
    </w:p>
    <w:p w:rsidR="007E0A0A" w:rsidRDefault="007E0A0A" w:rsidP="00407ABF">
      <w:pPr>
        <w:rPr>
          <w:rFonts w:ascii="Calibri" w:hAnsi="Calibri" w:cs="Arial"/>
          <w:sz w:val="24"/>
        </w:rPr>
      </w:pPr>
      <w:r>
        <w:rPr>
          <w:rFonts w:ascii="Calibri" w:hAnsi="Calibri" w:cs="Arial"/>
          <w:sz w:val="24"/>
        </w:rPr>
        <w:t>It is clear that EGMs can provide relief from pressing problems and stress. Unfortunately</w:t>
      </w:r>
      <w:r w:rsidR="00EA1461">
        <w:rPr>
          <w:rFonts w:ascii="Calibri" w:hAnsi="Calibri" w:cs="Arial"/>
          <w:sz w:val="24"/>
        </w:rPr>
        <w:t>,</w:t>
      </w:r>
      <w:r>
        <w:rPr>
          <w:rFonts w:ascii="Calibri" w:hAnsi="Calibri" w:cs="Arial"/>
          <w:sz w:val="24"/>
        </w:rPr>
        <w:t xml:space="preserve"> the gambling </w:t>
      </w:r>
      <w:r w:rsidR="003D0929">
        <w:rPr>
          <w:rFonts w:ascii="Calibri" w:hAnsi="Calibri" w:cs="Arial"/>
          <w:sz w:val="24"/>
        </w:rPr>
        <w:t>industry understands</w:t>
      </w:r>
      <w:r>
        <w:rPr>
          <w:rFonts w:ascii="Calibri" w:hAnsi="Calibri" w:cs="Arial"/>
          <w:sz w:val="24"/>
        </w:rPr>
        <w:t xml:space="preserve"> this propensity and has tended to locate more EGMs in areas of disadvantage, thus significantly increasing the impacts of EGM gambling in such communities.</w:t>
      </w:r>
    </w:p>
    <w:p w:rsidR="001877A7" w:rsidRPr="00EA1461" w:rsidRDefault="001877A7" w:rsidP="001877A7">
      <w:pPr>
        <w:rPr>
          <w:rFonts w:ascii="Calibri" w:hAnsi="Calibri" w:cs="Arial"/>
          <w:sz w:val="24"/>
        </w:rPr>
      </w:pPr>
      <w:r w:rsidRPr="00EA1461">
        <w:rPr>
          <w:rFonts w:ascii="Calibri" w:hAnsi="Calibri" w:cs="Arial"/>
          <w:sz w:val="24"/>
        </w:rPr>
        <w:t xml:space="preserve">One of the key factors in developing an addiction is the repetition of behaviour, which forms a habit. </w:t>
      </w:r>
      <w:r w:rsidR="00FC33DA">
        <w:rPr>
          <w:rFonts w:ascii="Calibri" w:hAnsi="Calibri" w:cs="Arial"/>
          <w:sz w:val="24"/>
        </w:rPr>
        <w:t xml:space="preserve"> </w:t>
      </w:r>
      <w:r w:rsidRPr="00EA1461">
        <w:rPr>
          <w:rFonts w:ascii="Calibri" w:hAnsi="Calibri" w:cs="Arial"/>
          <w:sz w:val="24"/>
        </w:rPr>
        <w:t>This habit provides a sense of reassurance associated with the addiction, because it provides a pleasurable constant in the person’s life. </w:t>
      </w:r>
      <w:hyperlink r:id="rId15" w:anchor="150eefb6e344a191__edn1" w:history="1">
        <w:r w:rsidRPr="00EA1461">
          <w:rPr>
            <w:rFonts w:cs="Arial"/>
            <w:sz w:val="24"/>
          </w:rPr>
          <w:t>[i</w:t>
        </w:r>
        <w:r w:rsidR="00625933">
          <w:rPr>
            <w:rFonts w:cs="Arial"/>
            <w:sz w:val="24"/>
          </w:rPr>
          <w:t>i</w:t>
        </w:r>
        <w:r w:rsidRPr="00EA1461">
          <w:rPr>
            <w:rFonts w:cs="Arial"/>
            <w:sz w:val="24"/>
          </w:rPr>
          <w:t>]</w:t>
        </w:r>
      </w:hyperlink>
      <w:r w:rsidRPr="00EA1461">
        <w:rPr>
          <w:rFonts w:ascii="Calibri" w:hAnsi="Calibri" w:cs="Arial"/>
          <w:sz w:val="24"/>
        </w:rPr>
        <w:t xml:space="preserve"> (Gambling Regulation Act). </w:t>
      </w:r>
      <w:r w:rsidR="00FC33DA">
        <w:rPr>
          <w:rFonts w:ascii="Calibri" w:hAnsi="Calibri" w:cs="Arial"/>
          <w:sz w:val="24"/>
        </w:rPr>
        <w:t xml:space="preserve"> </w:t>
      </w:r>
      <w:r w:rsidRPr="00EA1461">
        <w:rPr>
          <w:rFonts w:ascii="Calibri" w:hAnsi="Calibri" w:cs="Arial"/>
          <w:sz w:val="24"/>
        </w:rPr>
        <w:t>Repetition reinforces specific neural pathways associated with pleasure and relief from stress and pain.</w:t>
      </w:r>
      <w:r w:rsidR="00FC33DA">
        <w:rPr>
          <w:rFonts w:ascii="Calibri" w:hAnsi="Calibri" w:cs="Arial"/>
          <w:sz w:val="24"/>
        </w:rPr>
        <w:t xml:space="preserve"> </w:t>
      </w:r>
      <w:r w:rsidRPr="00EA1461">
        <w:rPr>
          <w:rFonts w:ascii="Calibri" w:hAnsi="Calibri" w:cs="Arial"/>
          <w:sz w:val="24"/>
        </w:rPr>
        <w:t>The same neural pathways are developed with gambling addiction as with (for example) cocaine addiction.</w:t>
      </w:r>
    </w:p>
    <w:p w:rsidR="001877A7" w:rsidRPr="00EA1461" w:rsidRDefault="001877A7" w:rsidP="001877A7">
      <w:pPr>
        <w:rPr>
          <w:rFonts w:ascii="Calibri" w:hAnsi="Calibri" w:cs="Arial"/>
          <w:sz w:val="24"/>
        </w:rPr>
      </w:pPr>
      <w:r w:rsidRPr="00EA1461">
        <w:rPr>
          <w:rFonts w:ascii="Calibri" w:hAnsi="Calibri" w:cs="Arial"/>
          <w:sz w:val="24"/>
        </w:rPr>
        <w:t xml:space="preserve">EGM design and usage can provide a framework for a habit to develop by encouraging repetition of actions and feelings associated with gambling. The conditioning mechanisms via which repetition of potentially addictive behaviour </w:t>
      </w:r>
      <w:r w:rsidR="00937AB9">
        <w:rPr>
          <w:rFonts w:ascii="Calibri" w:hAnsi="Calibri" w:cs="Arial"/>
          <w:sz w:val="24"/>
        </w:rPr>
        <w:t xml:space="preserve">is </w:t>
      </w:r>
      <w:r w:rsidRPr="00EA1461">
        <w:rPr>
          <w:rFonts w:ascii="Calibri" w:hAnsi="Calibri" w:cs="Arial"/>
          <w:sz w:val="24"/>
        </w:rPr>
        <w:t>encouraged are discussed below.</w:t>
      </w:r>
    </w:p>
    <w:p w:rsidR="00EA1461" w:rsidRDefault="007E0A0A" w:rsidP="00EA1461">
      <w:pPr>
        <w:spacing w:before="100" w:beforeAutospacing="1" w:after="100" w:afterAutospacing="1"/>
        <w:rPr>
          <w:rFonts w:ascii="Calibri" w:hAnsi="Calibri" w:cs="Arial"/>
          <w:sz w:val="24"/>
        </w:rPr>
      </w:pPr>
      <w:r>
        <w:rPr>
          <w:rFonts w:ascii="Calibri" w:hAnsi="Calibri" w:cs="Arial"/>
          <w:sz w:val="24"/>
        </w:rPr>
        <w:t xml:space="preserve">EGMs utilise well-understood principles of operant and classical conditioning to establish </w:t>
      </w:r>
      <w:r w:rsidR="00F872A7">
        <w:rPr>
          <w:rFonts w:ascii="Calibri" w:hAnsi="Calibri" w:cs="Arial"/>
          <w:sz w:val="24"/>
        </w:rPr>
        <w:t>patterns of sustained EGM use.</w:t>
      </w:r>
      <w:r w:rsidR="00FC33DA">
        <w:rPr>
          <w:rFonts w:ascii="Calibri" w:hAnsi="Calibri" w:cs="Arial"/>
          <w:sz w:val="24"/>
        </w:rPr>
        <w:t xml:space="preserve"> </w:t>
      </w:r>
      <w:r w:rsidR="00F872A7">
        <w:rPr>
          <w:rFonts w:ascii="Calibri" w:hAnsi="Calibri" w:cs="Arial"/>
          <w:sz w:val="24"/>
        </w:rPr>
        <w:t xml:space="preserve">It is now known that the operation of such conditioning systems stimulate the release of dopamine and other brain chemicals, which act on the brain’s reward system in the same way that occurs in those with addictions to narcotic drugs such as cocaine.  </w:t>
      </w:r>
    </w:p>
    <w:p w:rsidR="00EA1461" w:rsidRPr="00EA1461" w:rsidRDefault="00EA1461" w:rsidP="00EA1461">
      <w:pPr>
        <w:spacing w:before="100" w:beforeAutospacing="1" w:after="100" w:afterAutospacing="1"/>
        <w:rPr>
          <w:sz w:val="24"/>
          <w:szCs w:val="24"/>
        </w:rPr>
      </w:pPr>
      <w:r w:rsidRPr="00EA1461">
        <w:rPr>
          <w:sz w:val="24"/>
          <w:szCs w:val="24"/>
          <w:lang w:val="en-US"/>
        </w:rPr>
        <w:t>Classical conditioning was discovered in the 19</w:t>
      </w:r>
      <w:r w:rsidRPr="00EA1461">
        <w:rPr>
          <w:sz w:val="24"/>
          <w:szCs w:val="24"/>
          <w:vertAlign w:val="superscript"/>
          <w:lang w:val="en-US"/>
        </w:rPr>
        <w:t>th</w:t>
      </w:r>
      <w:r w:rsidRPr="00EA1461">
        <w:rPr>
          <w:sz w:val="24"/>
          <w:szCs w:val="24"/>
          <w:lang w:val="en-US"/>
        </w:rPr>
        <w:t xml:space="preserve"> century by</w:t>
      </w:r>
      <w:r w:rsidRPr="0079156C">
        <w:rPr>
          <w:sz w:val="24"/>
          <w:szCs w:val="24"/>
          <w:lang w:val="en-US"/>
        </w:rPr>
        <w:t xml:space="preserve"> </w:t>
      </w:r>
      <w:hyperlink r:id="rId16" w:history="1">
        <w:r w:rsidRPr="0079156C">
          <w:rPr>
            <w:sz w:val="24"/>
            <w:szCs w:val="24"/>
          </w:rPr>
          <w:t>Ivan Pavlov</w:t>
        </w:r>
      </w:hyperlink>
      <w:r w:rsidRPr="00EA1461">
        <w:rPr>
          <w:sz w:val="24"/>
          <w:szCs w:val="24"/>
          <w:lang w:val="en-US"/>
        </w:rPr>
        <w:t>.</w:t>
      </w:r>
      <w:r w:rsidR="00FC33DA">
        <w:rPr>
          <w:sz w:val="24"/>
          <w:szCs w:val="24"/>
          <w:lang w:val="en-US"/>
        </w:rPr>
        <w:t xml:space="preserve"> </w:t>
      </w:r>
      <w:r w:rsidRPr="00EA1461">
        <w:rPr>
          <w:sz w:val="24"/>
          <w:szCs w:val="24"/>
          <w:lang w:val="en-US"/>
        </w:rPr>
        <w:t>This can be demonstrated by the example of a dog which, when fed, hears a bell. The dog becomes accustomed to the sound, and will salivate when it hears it, even without food. The reward (food) becomes associated with a quite different stimulus.</w:t>
      </w:r>
    </w:p>
    <w:p w:rsidR="00EA1461" w:rsidRPr="00EA1461" w:rsidRDefault="00EA1461" w:rsidP="00EA1461">
      <w:pPr>
        <w:spacing w:before="100" w:beforeAutospacing="1" w:after="100" w:afterAutospacing="1"/>
        <w:rPr>
          <w:sz w:val="24"/>
          <w:szCs w:val="24"/>
        </w:rPr>
      </w:pPr>
      <w:r w:rsidRPr="00EA1461">
        <w:rPr>
          <w:sz w:val="24"/>
          <w:szCs w:val="24"/>
          <w:lang w:val="en-US"/>
        </w:rPr>
        <w:t xml:space="preserve">From the 1950s, the US psychological researcher B. F. Skinner and colleagues conducted a series of experiments on pigeons and rats. These demonstrated that random provision of rewards would make animals likely to repeat activity associated with the rewards. This is much more likely to lead to continued behaviour than a system of regular rewards. This is known as </w:t>
      </w:r>
      <w:hyperlink r:id="rId17" w:history="1">
        <w:r w:rsidRPr="00E15624">
          <w:t>operant conditioning</w:t>
        </w:r>
      </w:hyperlink>
      <w:r w:rsidRPr="00EA1461">
        <w:rPr>
          <w:sz w:val="24"/>
          <w:szCs w:val="24"/>
          <w:lang w:val="en-US"/>
        </w:rPr>
        <w:t xml:space="preserve">. It works as well on humans as it does on pigeons and rats. </w:t>
      </w:r>
    </w:p>
    <w:p w:rsidR="00AD60FA" w:rsidRDefault="00AD60FA" w:rsidP="00407ABF">
      <w:pPr>
        <w:rPr>
          <w:rFonts w:ascii="Calibri" w:hAnsi="Calibri" w:cs="Arial"/>
          <w:sz w:val="24"/>
        </w:rPr>
      </w:pPr>
      <w:bookmarkStart w:id="8" w:name="150eefb6e344a191__ednref1"/>
      <w:bookmarkEnd w:id="8"/>
      <w:r>
        <w:rPr>
          <w:rFonts w:ascii="Calibri" w:hAnsi="Calibri" w:cs="Arial"/>
          <w:sz w:val="24"/>
        </w:rPr>
        <w:t xml:space="preserve">There can be a misconception by some EGM players that the machines operate in cycles of winning and losing. EGM players may believe they acquire more knowledge if they play more often. </w:t>
      </w:r>
      <w:r w:rsidR="00FC33DA">
        <w:rPr>
          <w:rFonts w:ascii="Calibri" w:hAnsi="Calibri" w:cs="Arial"/>
          <w:sz w:val="24"/>
        </w:rPr>
        <w:t xml:space="preserve"> </w:t>
      </w:r>
      <w:r w:rsidR="00F872A7">
        <w:rPr>
          <w:rFonts w:ascii="Calibri" w:hAnsi="Calibri" w:cs="Arial"/>
          <w:sz w:val="24"/>
        </w:rPr>
        <w:t>Regular g</w:t>
      </w:r>
      <w:r>
        <w:rPr>
          <w:rFonts w:ascii="Calibri" w:hAnsi="Calibri" w:cs="Arial"/>
          <w:sz w:val="24"/>
        </w:rPr>
        <w:t>amblers</w:t>
      </w:r>
      <w:r w:rsidR="00F872A7">
        <w:rPr>
          <w:rFonts w:ascii="Calibri" w:hAnsi="Calibri" w:cs="Arial"/>
          <w:sz w:val="24"/>
        </w:rPr>
        <w:t>, and those with established problems,</w:t>
      </w:r>
      <w:r>
        <w:rPr>
          <w:rFonts w:ascii="Calibri" w:hAnsi="Calibri" w:cs="Arial"/>
          <w:sz w:val="24"/>
        </w:rPr>
        <w:t xml:space="preserve"> are also more likely to </w:t>
      </w:r>
      <w:r w:rsidR="00F872A7">
        <w:rPr>
          <w:rFonts w:ascii="Calibri" w:hAnsi="Calibri" w:cs="Arial"/>
          <w:sz w:val="24"/>
        </w:rPr>
        <w:t>prefer a specific</w:t>
      </w:r>
      <w:r>
        <w:rPr>
          <w:rFonts w:ascii="Calibri" w:hAnsi="Calibri" w:cs="Arial"/>
          <w:sz w:val="24"/>
        </w:rPr>
        <w:t xml:space="preserve"> </w:t>
      </w:r>
      <w:r w:rsidR="00F872A7">
        <w:rPr>
          <w:rFonts w:ascii="Calibri" w:hAnsi="Calibri" w:cs="Arial"/>
          <w:sz w:val="24"/>
        </w:rPr>
        <w:t>game</w:t>
      </w:r>
      <w:r>
        <w:rPr>
          <w:rFonts w:ascii="Calibri" w:hAnsi="Calibri" w:cs="Arial"/>
          <w:sz w:val="24"/>
        </w:rPr>
        <w:t>, on the basis that they believe it will bring them luck.</w:t>
      </w:r>
      <w:r w:rsidR="00FC33DA">
        <w:rPr>
          <w:rFonts w:ascii="Calibri" w:hAnsi="Calibri" w:cs="Arial"/>
          <w:sz w:val="24"/>
        </w:rPr>
        <w:t xml:space="preserve"> </w:t>
      </w:r>
      <w:r w:rsidR="00F872A7">
        <w:rPr>
          <w:rFonts w:ascii="Calibri" w:hAnsi="Calibri" w:cs="Arial"/>
          <w:sz w:val="24"/>
        </w:rPr>
        <w:t>Other erroneous beliefs are common amongst regular gamblers, and amongst those with gambling problems.</w:t>
      </w:r>
    </w:p>
    <w:p w:rsidR="00461277" w:rsidRDefault="00A3428C" w:rsidP="00407ABF">
      <w:pPr>
        <w:rPr>
          <w:rFonts w:ascii="Calibri" w:hAnsi="Calibri" w:cs="Arial"/>
          <w:sz w:val="24"/>
        </w:rPr>
      </w:pPr>
      <w:r>
        <w:rPr>
          <w:rFonts w:ascii="Calibri" w:hAnsi="Calibri" w:cs="Arial"/>
          <w:sz w:val="24"/>
        </w:rPr>
        <w:t>The success of EGM design strategies lies in the capacity of EGMs to attract patrons to devote increased expenditure. Unfortunately, this success is also associated with the development of</w:t>
      </w:r>
      <w:r w:rsidR="00474D99">
        <w:rPr>
          <w:rFonts w:ascii="Calibri" w:hAnsi="Calibri" w:cs="Arial"/>
          <w:sz w:val="24"/>
        </w:rPr>
        <w:t xml:space="preserve"> gambling problems in about 15 per cent </w:t>
      </w:r>
      <w:r>
        <w:rPr>
          <w:rFonts w:ascii="Calibri" w:hAnsi="Calibri" w:cs="Arial"/>
          <w:sz w:val="24"/>
        </w:rPr>
        <w:t>of r</w:t>
      </w:r>
      <w:r w:rsidR="00A127FF">
        <w:rPr>
          <w:rFonts w:ascii="Calibri" w:hAnsi="Calibri" w:cs="Arial"/>
          <w:sz w:val="24"/>
        </w:rPr>
        <w:t>egular patrons, with another 15 per cent</w:t>
      </w:r>
      <w:r>
        <w:rPr>
          <w:rFonts w:ascii="Calibri" w:hAnsi="Calibri" w:cs="Arial"/>
          <w:sz w:val="24"/>
        </w:rPr>
        <w:t xml:space="preserve"> of regular patrons displaying moderate risk of gambling problems.</w:t>
      </w:r>
    </w:p>
    <w:p w:rsidR="003C5333" w:rsidRDefault="003C5333" w:rsidP="00407ABF">
      <w:pPr>
        <w:rPr>
          <w:rFonts w:ascii="Calibri" w:hAnsi="Calibri" w:cs="Arial"/>
          <w:b/>
          <w:i/>
          <w:sz w:val="24"/>
        </w:rPr>
      </w:pPr>
      <w:bookmarkStart w:id="9" w:name="150eefb6e344a191__ednref2"/>
      <w:bookmarkEnd w:id="9"/>
      <w:r w:rsidRPr="00031FC6">
        <w:rPr>
          <w:rFonts w:ascii="Calibri" w:hAnsi="Calibri" w:cs="Arial"/>
          <w:b/>
          <w:i/>
          <w:sz w:val="24"/>
        </w:rPr>
        <w:t>Venue Location and Layout</w:t>
      </w:r>
    </w:p>
    <w:p w:rsidR="00C30FFA" w:rsidRDefault="00892EAF" w:rsidP="00407ABF">
      <w:pPr>
        <w:rPr>
          <w:rFonts w:ascii="Calibri" w:hAnsi="Calibri"/>
          <w:sz w:val="24"/>
        </w:rPr>
      </w:pPr>
      <w:r>
        <w:rPr>
          <w:rFonts w:ascii="Calibri" w:hAnsi="Calibri"/>
          <w:sz w:val="24"/>
        </w:rPr>
        <w:t>O</w:t>
      </w:r>
      <w:r w:rsidR="0029781B">
        <w:rPr>
          <w:rFonts w:ascii="Calibri" w:hAnsi="Calibri"/>
          <w:sz w:val="24"/>
        </w:rPr>
        <w:t xml:space="preserve">ne of the key issues associated with moderate and problem gambling is </w:t>
      </w:r>
      <w:r w:rsidR="00F872A7">
        <w:rPr>
          <w:rFonts w:ascii="Calibri" w:hAnsi="Calibri"/>
          <w:sz w:val="24"/>
        </w:rPr>
        <w:t>exposure to accessible gambling opportunities</w:t>
      </w:r>
      <w:r w:rsidR="0029781B">
        <w:rPr>
          <w:rFonts w:ascii="Calibri" w:hAnsi="Calibri"/>
          <w:sz w:val="24"/>
        </w:rPr>
        <w:t>.</w:t>
      </w:r>
      <w:r w:rsidR="00FC33DA">
        <w:rPr>
          <w:rFonts w:ascii="Calibri" w:hAnsi="Calibri"/>
          <w:sz w:val="24"/>
        </w:rPr>
        <w:t xml:space="preserve"> </w:t>
      </w:r>
      <w:r w:rsidR="00E30603">
        <w:rPr>
          <w:rFonts w:ascii="Calibri" w:hAnsi="Calibri"/>
          <w:sz w:val="24"/>
        </w:rPr>
        <w:t xml:space="preserve">90 </w:t>
      </w:r>
      <w:r w:rsidR="00F872A7">
        <w:rPr>
          <w:rFonts w:ascii="Calibri" w:hAnsi="Calibri"/>
          <w:sz w:val="24"/>
        </w:rPr>
        <w:t>per cent</w:t>
      </w:r>
      <w:r w:rsidR="0029781B">
        <w:rPr>
          <w:rFonts w:ascii="Calibri" w:hAnsi="Calibri"/>
          <w:sz w:val="24"/>
        </w:rPr>
        <w:t xml:space="preserve"> </w:t>
      </w:r>
      <w:r w:rsidR="0029781B" w:rsidRPr="00D34574">
        <w:rPr>
          <w:rFonts w:ascii="Calibri" w:hAnsi="Calibri"/>
          <w:sz w:val="24"/>
        </w:rPr>
        <w:t xml:space="preserve">of </w:t>
      </w:r>
      <w:r w:rsidR="0029781B">
        <w:rPr>
          <w:rFonts w:ascii="Calibri" w:hAnsi="Calibri"/>
          <w:sz w:val="24"/>
        </w:rPr>
        <w:t xml:space="preserve">people living </w:t>
      </w:r>
      <w:r w:rsidR="0029781B" w:rsidRPr="00D34574">
        <w:rPr>
          <w:rFonts w:ascii="Calibri" w:hAnsi="Calibri"/>
          <w:sz w:val="24"/>
        </w:rPr>
        <w:t xml:space="preserve">in metropolitan Melbourne reside within a 2.5 </w:t>
      </w:r>
      <w:r w:rsidR="0029781B">
        <w:rPr>
          <w:rFonts w:ascii="Calibri" w:hAnsi="Calibri"/>
          <w:sz w:val="24"/>
        </w:rPr>
        <w:t xml:space="preserve">kilometre radius </w:t>
      </w:r>
      <w:r w:rsidR="0029781B" w:rsidRPr="00D34574">
        <w:rPr>
          <w:rFonts w:ascii="Calibri" w:hAnsi="Calibri"/>
          <w:sz w:val="24"/>
        </w:rPr>
        <w:t>of a club or hotel with</w:t>
      </w:r>
      <w:r w:rsidR="0029781B">
        <w:rPr>
          <w:rFonts w:ascii="Calibri" w:hAnsi="Calibri"/>
          <w:sz w:val="24"/>
        </w:rPr>
        <w:t xml:space="preserve"> EGMs</w:t>
      </w:r>
      <w:r w:rsidR="00F872A7">
        <w:rPr>
          <w:rFonts w:ascii="Calibri" w:hAnsi="Calibri"/>
          <w:sz w:val="24"/>
        </w:rPr>
        <w:t>,</w:t>
      </w:r>
      <w:r w:rsidR="0029781B">
        <w:rPr>
          <w:rFonts w:ascii="Calibri" w:hAnsi="Calibri"/>
          <w:sz w:val="24"/>
        </w:rPr>
        <w:t xml:space="preserve"> a</w:t>
      </w:r>
      <w:r w:rsidR="00F872A7">
        <w:rPr>
          <w:rFonts w:ascii="Calibri" w:hAnsi="Calibri"/>
          <w:sz w:val="24"/>
        </w:rPr>
        <w:t>s do</w:t>
      </w:r>
      <w:r w:rsidR="00202BD1">
        <w:rPr>
          <w:rFonts w:ascii="Calibri" w:hAnsi="Calibri"/>
          <w:sz w:val="24"/>
        </w:rPr>
        <w:t xml:space="preserve"> 55 per cent</w:t>
      </w:r>
      <w:r w:rsidR="0029781B">
        <w:rPr>
          <w:rFonts w:ascii="Calibri" w:hAnsi="Calibri"/>
          <w:sz w:val="24"/>
        </w:rPr>
        <w:t xml:space="preserve"> </w:t>
      </w:r>
      <w:r w:rsidR="0029781B" w:rsidRPr="00D34574">
        <w:rPr>
          <w:rFonts w:ascii="Calibri" w:hAnsi="Calibri"/>
          <w:sz w:val="24"/>
        </w:rPr>
        <w:t>in non</w:t>
      </w:r>
      <w:r w:rsidR="00F872A7">
        <w:rPr>
          <w:rFonts w:ascii="Calibri" w:hAnsi="Calibri"/>
          <w:sz w:val="24"/>
        </w:rPr>
        <w:t>-</w:t>
      </w:r>
      <w:r w:rsidR="0029781B" w:rsidRPr="00D34574">
        <w:rPr>
          <w:rFonts w:ascii="Calibri" w:hAnsi="Calibri"/>
          <w:sz w:val="24"/>
        </w:rPr>
        <w:t>metropolitan areas.</w:t>
      </w:r>
      <w:r w:rsidR="0029781B">
        <w:rPr>
          <w:rFonts w:ascii="Calibri" w:hAnsi="Calibri"/>
          <w:sz w:val="24"/>
        </w:rPr>
        <w:t xml:space="preserve"> </w:t>
      </w:r>
      <w:r w:rsidR="0029781B" w:rsidRPr="00D34574">
        <w:rPr>
          <w:rFonts w:ascii="Calibri" w:hAnsi="Calibri"/>
          <w:sz w:val="24"/>
        </w:rPr>
        <w:t xml:space="preserve">A survey of 8,500 Victorian </w:t>
      </w:r>
      <w:r w:rsidR="00202BD1">
        <w:rPr>
          <w:rFonts w:ascii="Calibri" w:hAnsi="Calibri"/>
          <w:sz w:val="24"/>
        </w:rPr>
        <w:t>residents by KPMG found that 32 per cent</w:t>
      </w:r>
      <w:r w:rsidR="0029781B">
        <w:rPr>
          <w:rFonts w:ascii="Calibri" w:hAnsi="Calibri"/>
          <w:sz w:val="24"/>
        </w:rPr>
        <w:t xml:space="preserve"> </w:t>
      </w:r>
      <w:r w:rsidR="0029781B" w:rsidRPr="00D34574">
        <w:rPr>
          <w:rFonts w:ascii="Calibri" w:hAnsi="Calibri"/>
          <w:sz w:val="24"/>
        </w:rPr>
        <w:t xml:space="preserve">of gamblers travelled an </w:t>
      </w:r>
      <w:r w:rsidR="0029781B">
        <w:rPr>
          <w:rFonts w:ascii="Calibri" w:hAnsi="Calibri"/>
          <w:sz w:val="24"/>
        </w:rPr>
        <w:t>average of 2</w:t>
      </w:r>
      <w:r w:rsidR="00202BD1">
        <w:rPr>
          <w:rFonts w:ascii="Calibri" w:hAnsi="Calibri"/>
          <w:sz w:val="24"/>
        </w:rPr>
        <w:t>.5 kilometres to a venue and 57 per cent</w:t>
      </w:r>
      <w:r w:rsidR="0029781B">
        <w:rPr>
          <w:rFonts w:ascii="Calibri" w:hAnsi="Calibri"/>
          <w:sz w:val="24"/>
        </w:rPr>
        <w:t xml:space="preserve"> </w:t>
      </w:r>
      <w:r w:rsidR="0029781B" w:rsidRPr="00D34574">
        <w:rPr>
          <w:rFonts w:ascii="Calibri" w:hAnsi="Calibri"/>
          <w:sz w:val="24"/>
        </w:rPr>
        <w:t xml:space="preserve">less than 5 </w:t>
      </w:r>
      <w:r w:rsidR="0029781B">
        <w:rPr>
          <w:rFonts w:ascii="Calibri" w:hAnsi="Calibri"/>
          <w:sz w:val="24"/>
        </w:rPr>
        <w:t>kilometres.</w:t>
      </w:r>
      <w:r w:rsidR="00F872A7">
        <w:rPr>
          <w:rFonts w:ascii="Calibri" w:hAnsi="Calibri"/>
          <w:sz w:val="24"/>
        </w:rPr>
        <w:t xml:space="preserve"> It is now well understood that regular exposure to gambling opportunities is a risk factor for the development of gambling problems</w:t>
      </w:r>
      <w:r w:rsidR="00BD4315">
        <w:rPr>
          <w:rFonts w:ascii="Calibri" w:hAnsi="Calibri"/>
          <w:sz w:val="24"/>
        </w:rPr>
        <w:t>.</w:t>
      </w:r>
    </w:p>
    <w:p w:rsidR="00BD4315" w:rsidRDefault="0028237B" w:rsidP="0028237B">
      <w:pPr>
        <w:spacing w:before="120"/>
        <w:rPr>
          <w:rFonts w:ascii="Calibri" w:hAnsi="Calibri"/>
          <w:sz w:val="24"/>
        </w:rPr>
      </w:pPr>
      <w:r>
        <w:rPr>
          <w:rFonts w:ascii="Calibri" w:hAnsi="Calibri"/>
          <w:sz w:val="24"/>
        </w:rPr>
        <w:t xml:space="preserve">Hotels and clubs are often located in or around activity centres or near local shopping areas. </w:t>
      </w:r>
      <w:r w:rsidR="00FC33DA">
        <w:rPr>
          <w:rFonts w:ascii="Calibri" w:hAnsi="Calibri"/>
          <w:sz w:val="24"/>
        </w:rPr>
        <w:t xml:space="preserve"> </w:t>
      </w:r>
      <w:r>
        <w:rPr>
          <w:rFonts w:ascii="Calibri" w:hAnsi="Calibri"/>
          <w:sz w:val="24"/>
        </w:rPr>
        <w:t xml:space="preserve">This makes it more likely that people conducting their everyday business in their local area will </w:t>
      </w:r>
      <w:r w:rsidR="00BD4315">
        <w:rPr>
          <w:rFonts w:ascii="Calibri" w:hAnsi="Calibri"/>
          <w:sz w:val="24"/>
        </w:rPr>
        <w:t xml:space="preserve">be exposed to gambling opportunities, and in many cases subsequently </w:t>
      </w:r>
      <w:r>
        <w:rPr>
          <w:rFonts w:ascii="Calibri" w:hAnsi="Calibri"/>
          <w:sz w:val="24"/>
        </w:rPr>
        <w:t xml:space="preserve">engage in gambling. </w:t>
      </w:r>
      <w:r w:rsidR="00BD4315">
        <w:rPr>
          <w:rFonts w:ascii="Calibri" w:hAnsi="Calibri"/>
          <w:sz w:val="24"/>
        </w:rPr>
        <w:t xml:space="preserve">A </w:t>
      </w:r>
      <w:r w:rsidR="00311071">
        <w:rPr>
          <w:rFonts w:ascii="Calibri" w:hAnsi="Calibri"/>
          <w:sz w:val="24"/>
        </w:rPr>
        <w:t xml:space="preserve">small </w:t>
      </w:r>
      <w:r w:rsidR="00BD4315">
        <w:rPr>
          <w:rFonts w:ascii="Calibri" w:hAnsi="Calibri"/>
          <w:sz w:val="24"/>
        </w:rPr>
        <w:t xml:space="preserve">proportion of people who gamble on EGMs will develop gambling problems </w:t>
      </w:r>
      <w:r w:rsidR="00670890">
        <w:rPr>
          <w:rFonts w:ascii="Calibri" w:hAnsi="Calibri"/>
          <w:sz w:val="24"/>
        </w:rPr>
        <w:t>and experience associated harms</w:t>
      </w:r>
      <w:r w:rsidR="00BD4315">
        <w:rPr>
          <w:rFonts w:ascii="Calibri" w:hAnsi="Calibri"/>
          <w:sz w:val="24"/>
        </w:rPr>
        <w:t>.</w:t>
      </w:r>
    </w:p>
    <w:p w:rsidR="00BD4315" w:rsidRDefault="00BD4315" w:rsidP="0028237B">
      <w:pPr>
        <w:spacing w:before="120"/>
        <w:rPr>
          <w:rFonts w:ascii="Calibri" w:hAnsi="Calibri"/>
          <w:sz w:val="24"/>
        </w:rPr>
      </w:pPr>
      <w:r>
        <w:rPr>
          <w:rFonts w:ascii="Calibri" w:hAnsi="Calibri"/>
          <w:sz w:val="24"/>
        </w:rPr>
        <w:t xml:space="preserve">It is rarely necessary to travel any great distance in Melbourne (and particularly in western metropolitan Melbourne) to find an EGM venue. EGM density in Maribyrnong </w:t>
      </w:r>
      <w:r w:rsidR="00311071">
        <w:rPr>
          <w:rFonts w:ascii="Calibri" w:hAnsi="Calibri"/>
          <w:sz w:val="24"/>
        </w:rPr>
        <w:t xml:space="preserve">is </w:t>
      </w:r>
      <w:r>
        <w:rPr>
          <w:rFonts w:ascii="Calibri" w:hAnsi="Calibri"/>
          <w:sz w:val="24"/>
        </w:rPr>
        <w:t xml:space="preserve">historically high and the social conditions experienced in the municipality are such as to predispose many Maribyrnong residents to </w:t>
      </w:r>
      <w:r w:rsidR="00311071">
        <w:rPr>
          <w:rFonts w:ascii="Calibri" w:hAnsi="Calibri"/>
          <w:sz w:val="24"/>
        </w:rPr>
        <w:t>use</w:t>
      </w:r>
      <w:r>
        <w:rPr>
          <w:rFonts w:ascii="Calibri" w:hAnsi="Calibri"/>
          <w:sz w:val="24"/>
        </w:rPr>
        <w:t xml:space="preserve"> EGM gambling, with a proportion experiencing harm and gambling problems.</w:t>
      </w:r>
    </w:p>
    <w:p w:rsidR="003D4953" w:rsidRPr="00B16CA0" w:rsidRDefault="003D4953" w:rsidP="009D21EE">
      <w:pPr>
        <w:rPr>
          <w:rFonts w:ascii="Calibri" w:hAnsi="Calibri" w:cs="Arial"/>
          <w:b/>
          <w:i/>
          <w:sz w:val="24"/>
        </w:rPr>
      </w:pPr>
      <w:r w:rsidRPr="00B16CA0">
        <w:rPr>
          <w:rFonts w:ascii="Calibri" w:hAnsi="Calibri" w:cs="Arial"/>
          <w:b/>
          <w:i/>
          <w:sz w:val="24"/>
        </w:rPr>
        <w:t>Convenience of Online Gambling</w:t>
      </w:r>
    </w:p>
    <w:p w:rsidR="00CA264C" w:rsidRDefault="00524B9E" w:rsidP="009D21EE">
      <w:pPr>
        <w:rPr>
          <w:rFonts w:ascii="Calibri" w:hAnsi="Calibri" w:cs="Arial"/>
          <w:sz w:val="24"/>
        </w:rPr>
      </w:pPr>
      <w:r>
        <w:rPr>
          <w:rFonts w:ascii="Calibri" w:hAnsi="Calibri" w:cs="Arial"/>
          <w:sz w:val="24"/>
        </w:rPr>
        <w:t xml:space="preserve">The convenience of online gambling </w:t>
      </w:r>
      <w:r w:rsidR="00AE756A">
        <w:rPr>
          <w:rFonts w:ascii="Calibri" w:hAnsi="Calibri" w:cs="Arial"/>
          <w:sz w:val="24"/>
        </w:rPr>
        <w:t xml:space="preserve">such as </w:t>
      </w:r>
      <w:r w:rsidR="00B16CA0">
        <w:rPr>
          <w:rFonts w:ascii="Calibri" w:hAnsi="Calibri" w:cs="Arial"/>
          <w:sz w:val="24"/>
        </w:rPr>
        <w:t xml:space="preserve">sports betting </w:t>
      </w:r>
      <w:r w:rsidR="00BD4315">
        <w:rPr>
          <w:rFonts w:ascii="Calibri" w:hAnsi="Calibri" w:cs="Arial"/>
          <w:sz w:val="24"/>
        </w:rPr>
        <w:t xml:space="preserve">appears to be </w:t>
      </w:r>
      <w:r w:rsidR="00B16CA0">
        <w:rPr>
          <w:rFonts w:ascii="Calibri" w:hAnsi="Calibri" w:cs="Arial"/>
          <w:sz w:val="24"/>
        </w:rPr>
        <w:t xml:space="preserve">contributing to problem gambling rates in Australia, particularly among </w:t>
      </w:r>
      <w:r w:rsidR="00CA264C">
        <w:rPr>
          <w:rFonts w:ascii="Calibri" w:hAnsi="Calibri" w:cs="Arial"/>
          <w:sz w:val="24"/>
        </w:rPr>
        <w:t xml:space="preserve">younger </w:t>
      </w:r>
      <w:r w:rsidR="00B16CA0">
        <w:rPr>
          <w:rFonts w:ascii="Calibri" w:hAnsi="Calibri" w:cs="Arial"/>
          <w:sz w:val="24"/>
        </w:rPr>
        <w:t>men who make up the largest proportion of onlin</w:t>
      </w:r>
      <w:r w:rsidR="00EF210D">
        <w:rPr>
          <w:rFonts w:ascii="Calibri" w:hAnsi="Calibri" w:cs="Arial"/>
          <w:sz w:val="24"/>
        </w:rPr>
        <w:t xml:space="preserve">e gamblers. </w:t>
      </w:r>
    </w:p>
    <w:p w:rsidR="000902DC" w:rsidRPr="00524B9E" w:rsidRDefault="008C0D11" w:rsidP="009D21EE">
      <w:pPr>
        <w:rPr>
          <w:rFonts w:ascii="Calibri" w:hAnsi="Calibri" w:cs="Arial"/>
          <w:sz w:val="24"/>
        </w:rPr>
      </w:pPr>
      <w:r>
        <w:rPr>
          <w:rFonts w:ascii="Calibri" w:hAnsi="Calibri" w:cs="Arial"/>
          <w:sz w:val="24"/>
        </w:rPr>
        <w:t>In its report on the</w:t>
      </w:r>
      <w:r w:rsidR="00A51016">
        <w:rPr>
          <w:rFonts w:ascii="Calibri" w:hAnsi="Calibri" w:cs="Arial"/>
          <w:sz w:val="24"/>
        </w:rPr>
        <w:t xml:space="preserve"> survey of </w:t>
      </w:r>
      <w:r w:rsidR="00541BF0">
        <w:rPr>
          <w:rFonts w:ascii="Calibri" w:hAnsi="Calibri" w:cs="Arial"/>
          <w:sz w:val="24"/>
        </w:rPr>
        <w:t>i</w:t>
      </w:r>
      <w:r w:rsidR="00EF4D84">
        <w:rPr>
          <w:rFonts w:ascii="Calibri" w:hAnsi="Calibri" w:cs="Arial"/>
          <w:sz w:val="24"/>
        </w:rPr>
        <w:t>nteractive (online) g</w:t>
      </w:r>
      <w:r>
        <w:rPr>
          <w:rFonts w:ascii="Calibri" w:hAnsi="Calibri" w:cs="Arial"/>
          <w:sz w:val="24"/>
        </w:rPr>
        <w:t>ambling, Gambling Research Australia estimates th</w:t>
      </w:r>
      <w:r w:rsidR="00BD2E65">
        <w:rPr>
          <w:rFonts w:ascii="Calibri" w:hAnsi="Calibri" w:cs="Arial"/>
          <w:sz w:val="24"/>
        </w:rPr>
        <w:t>at men make up approximately 77 per cent</w:t>
      </w:r>
      <w:r w:rsidR="00A51016">
        <w:rPr>
          <w:rFonts w:ascii="Calibri" w:hAnsi="Calibri" w:cs="Arial"/>
          <w:sz w:val="24"/>
        </w:rPr>
        <w:t xml:space="preserve"> of those people surveyed online. The report also stated that the </w:t>
      </w:r>
      <w:r>
        <w:rPr>
          <w:rFonts w:ascii="Calibri" w:hAnsi="Calibri" w:cs="Arial"/>
          <w:sz w:val="24"/>
        </w:rPr>
        <w:t>online gamblers a</w:t>
      </w:r>
      <w:r w:rsidR="00AE756A">
        <w:rPr>
          <w:rFonts w:ascii="Calibri" w:hAnsi="Calibri" w:cs="Arial"/>
          <w:sz w:val="24"/>
        </w:rPr>
        <w:t>bility to bet quickly and repeatedly through</w:t>
      </w:r>
      <w:r w:rsidR="00A51016">
        <w:rPr>
          <w:rFonts w:ascii="Calibri" w:hAnsi="Calibri" w:cs="Arial"/>
          <w:sz w:val="24"/>
        </w:rPr>
        <w:t xml:space="preserve"> using credit card </w:t>
      </w:r>
      <w:r w:rsidR="00CA264C">
        <w:rPr>
          <w:rFonts w:ascii="Calibri" w:hAnsi="Calibri" w:cs="Arial"/>
          <w:sz w:val="24"/>
        </w:rPr>
        <w:t>transactions,</w:t>
      </w:r>
      <w:r w:rsidR="00A51016">
        <w:rPr>
          <w:rFonts w:ascii="Calibri" w:hAnsi="Calibri" w:cs="Arial"/>
          <w:sz w:val="24"/>
        </w:rPr>
        <w:t xml:space="preserve"> were contributing to the risk of problem gambling.</w:t>
      </w:r>
      <w:r w:rsidR="00FC33DA">
        <w:rPr>
          <w:rFonts w:ascii="Calibri" w:hAnsi="Calibri" w:cs="Arial"/>
          <w:sz w:val="24"/>
        </w:rPr>
        <w:t xml:space="preserve"> </w:t>
      </w:r>
      <w:r w:rsidR="00BD4315">
        <w:rPr>
          <w:rFonts w:ascii="Calibri" w:hAnsi="Calibri" w:cs="Arial"/>
          <w:sz w:val="24"/>
        </w:rPr>
        <w:t xml:space="preserve"> Rapid repetition of bets and ready access to resources to support this are also risk factors for the development of gambling problems, as is also the case with EGM gambling.</w:t>
      </w:r>
    </w:p>
    <w:p w:rsidR="00407ABF" w:rsidRPr="008F23FE" w:rsidRDefault="0098753F" w:rsidP="008F23FE">
      <w:pPr>
        <w:pStyle w:val="Heading2"/>
        <w:rPr>
          <w:rFonts w:asciiTheme="minorHAnsi" w:hAnsiTheme="minorHAnsi"/>
          <w:color w:val="auto"/>
          <w:sz w:val="24"/>
          <w:szCs w:val="24"/>
        </w:rPr>
      </w:pPr>
      <w:bookmarkStart w:id="10" w:name="_Toc446348715"/>
      <w:r w:rsidRPr="008F23FE">
        <w:rPr>
          <w:rFonts w:asciiTheme="minorHAnsi" w:hAnsiTheme="minorHAnsi"/>
          <w:color w:val="auto"/>
          <w:sz w:val="24"/>
          <w:szCs w:val="24"/>
        </w:rPr>
        <w:t>Impacts of Problem Gambling</w:t>
      </w:r>
      <w:bookmarkEnd w:id="10"/>
    </w:p>
    <w:p w:rsidR="00027015" w:rsidRPr="00031FC6" w:rsidRDefault="00027015" w:rsidP="00027015">
      <w:pPr>
        <w:spacing w:before="120"/>
        <w:rPr>
          <w:rFonts w:ascii="Calibri" w:hAnsi="Calibri" w:cs="Arial"/>
          <w:b/>
          <w:i/>
          <w:sz w:val="24"/>
        </w:rPr>
      </w:pPr>
      <w:r w:rsidRPr="00031FC6">
        <w:rPr>
          <w:rFonts w:ascii="Calibri" w:hAnsi="Calibri" w:cs="Arial"/>
          <w:b/>
          <w:i/>
          <w:sz w:val="24"/>
        </w:rPr>
        <w:t xml:space="preserve">Health and Psychological Impacts </w:t>
      </w:r>
    </w:p>
    <w:p w:rsidR="00027015" w:rsidRDefault="00027015" w:rsidP="00027015">
      <w:pPr>
        <w:rPr>
          <w:rFonts w:ascii="Calibri" w:hAnsi="Calibri" w:cs="Arial"/>
          <w:sz w:val="24"/>
        </w:rPr>
      </w:pPr>
      <w:r>
        <w:rPr>
          <w:rFonts w:ascii="Calibri" w:hAnsi="Calibri"/>
          <w:sz w:val="24"/>
        </w:rPr>
        <w:t xml:space="preserve">Problem gamblers are likely to experience a number of psychological and health related impacts. </w:t>
      </w:r>
      <w:r w:rsidR="00FC33DA">
        <w:rPr>
          <w:rFonts w:ascii="Calibri" w:hAnsi="Calibri"/>
          <w:sz w:val="24"/>
        </w:rPr>
        <w:t xml:space="preserve"> </w:t>
      </w:r>
      <w:r>
        <w:rPr>
          <w:rFonts w:ascii="Calibri" w:hAnsi="Calibri" w:cs="Arial"/>
          <w:sz w:val="24"/>
        </w:rPr>
        <w:t>Evidence suggests that a high proportion of people presenting for help with gambling are also dealing with other health or behavioural issues.</w:t>
      </w:r>
      <w:r w:rsidR="00FC33DA">
        <w:rPr>
          <w:rFonts w:ascii="Calibri" w:hAnsi="Calibri" w:cs="Arial"/>
          <w:sz w:val="24"/>
        </w:rPr>
        <w:t xml:space="preserve"> </w:t>
      </w:r>
      <w:r>
        <w:rPr>
          <w:rFonts w:ascii="Calibri" w:hAnsi="Calibri" w:cs="Arial"/>
          <w:sz w:val="24"/>
        </w:rPr>
        <w:t>The Productivity Commission Inquiry report found that:</w:t>
      </w:r>
    </w:p>
    <w:p w:rsidR="00027015" w:rsidRDefault="00027015" w:rsidP="00027015">
      <w:pPr>
        <w:numPr>
          <w:ilvl w:val="0"/>
          <w:numId w:val="22"/>
        </w:numPr>
        <w:spacing w:after="0" w:line="240" w:lineRule="auto"/>
        <w:rPr>
          <w:rFonts w:ascii="Calibri" w:hAnsi="Calibri" w:cs="Arial"/>
          <w:sz w:val="24"/>
        </w:rPr>
      </w:pPr>
      <w:r>
        <w:rPr>
          <w:rFonts w:ascii="Calibri" w:hAnsi="Calibri" w:cs="Arial"/>
          <w:sz w:val="24"/>
        </w:rPr>
        <w:t>the rate of lik</w:t>
      </w:r>
      <w:r w:rsidR="005B5D42">
        <w:rPr>
          <w:rFonts w:ascii="Calibri" w:hAnsi="Calibri" w:cs="Arial"/>
          <w:sz w:val="24"/>
        </w:rPr>
        <w:t>ely hazardous alcohol use was 5 per cent</w:t>
      </w:r>
      <w:r>
        <w:rPr>
          <w:rFonts w:ascii="Calibri" w:hAnsi="Calibri" w:cs="Arial"/>
          <w:sz w:val="24"/>
        </w:rPr>
        <w:t>;</w:t>
      </w:r>
    </w:p>
    <w:p w:rsidR="00027015" w:rsidRDefault="005B5D42" w:rsidP="00027015">
      <w:pPr>
        <w:numPr>
          <w:ilvl w:val="0"/>
          <w:numId w:val="22"/>
        </w:numPr>
        <w:spacing w:after="0" w:line="240" w:lineRule="auto"/>
        <w:rPr>
          <w:rFonts w:ascii="Calibri" w:hAnsi="Calibri" w:cs="Arial"/>
          <w:sz w:val="24"/>
        </w:rPr>
      </w:pPr>
      <w:r>
        <w:rPr>
          <w:rFonts w:ascii="Calibri" w:hAnsi="Calibri" w:cs="Arial"/>
          <w:sz w:val="24"/>
        </w:rPr>
        <w:t>the risk of depression was 71 per cent</w:t>
      </w:r>
      <w:r w:rsidR="00027015">
        <w:rPr>
          <w:rFonts w:ascii="Calibri" w:hAnsi="Calibri" w:cs="Arial"/>
          <w:sz w:val="24"/>
        </w:rPr>
        <w:t xml:space="preserve">; and </w:t>
      </w:r>
    </w:p>
    <w:p w:rsidR="00AE6D8B" w:rsidRDefault="005B5D42" w:rsidP="00AE6D8B">
      <w:pPr>
        <w:numPr>
          <w:ilvl w:val="0"/>
          <w:numId w:val="22"/>
        </w:numPr>
        <w:rPr>
          <w:b/>
        </w:rPr>
      </w:pPr>
      <w:r>
        <w:rPr>
          <w:rFonts w:ascii="Calibri" w:hAnsi="Calibri" w:cs="Arial"/>
          <w:sz w:val="24"/>
        </w:rPr>
        <w:t>the rate of daily smoking was 5 per cent</w:t>
      </w:r>
      <w:r w:rsidR="00FC33DA">
        <w:rPr>
          <w:rFonts w:ascii="Calibri" w:hAnsi="Calibri" w:cs="Arial"/>
          <w:sz w:val="24"/>
        </w:rPr>
        <w:t>.</w:t>
      </w:r>
    </w:p>
    <w:p w:rsidR="00AE6D8B" w:rsidRDefault="00AE6D8B" w:rsidP="00AE6D8B">
      <w:pPr>
        <w:rPr>
          <w:rFonts w:ascii="Calibri" w:hAnsi="Calibri" w:cs="Arial"/>
          <w:sz w:val="24"/>
        </w:rPr>
      </w:pPr>
      <w:r>
        <w:rPr>
          <w:rFonts w:ascii="Calibri" w:hAnsi="Calibri" w:cs="Arial"/>
          <w:sz w:val="24"/>
        </w:rPr>
        <w:t xml:space="preserve">In addition, there is evidence that problem gambling further exacerbates existing health and </w:t>
      </w:r>
      <w:r w:rsidR="00EB3141">
        <w:rPr>
          <w:rFonts w:ascii="Calibri" w:hAnsi="Calibri" w:cs="Arial"/>
          <w:sz w:val="24"/>
        </w:rPr>
        <w:t>psychological problems with 36 per cent</w:t>
      </w:r>
      <w:r>
        <w:rPr>
          <w:rFonts w:ascii="Calibri" w:hAnsi="Calibri" w:cs="Arial"/>
          <w:sz w:val="24"/>
        </w:rPr>
        <w:t xml:space="preserve"> having a severe mental disorder that contributed to their addiction</w:t>
      </w:r>
      <w:r w:rsidR="0036463B">
        <w:rPr>
          <w:rFonts w:ascii="Calibri" w:hAnsi="Calibri" w:cs="Arial"/>
          <w:sz w:val="24"/>
        </w:rPr>
        <w:t>.</w:t>
      </w:r>
    </w:p>
    <w:p w:rsidR="008C70CF" w:rsidRDefault="000A028D" w:rsidP="008C70CF">
      <w:pPr>
        <w:rPr>
          <w:rFonts w:ascii="Calibri" w:hAnsi="Calibri" w:cs="Arial"/>
          <w:sz w:val="24"/>
        </w:rPr>
      </w:pPr>
      <w:r>
        <w:rPr>
          <w:rFonts w:ascii="Calibri" w:hAnsi="Calibri" w:cs="Arial"/>
          <w:sz w:val="24"/>
        </w:rPr>
        <w:t xml:space="preserve">The </w:t>
      </w:r>
      <w:r w:rsidR="008C70CF">
        <w:rPr>
          <w:rFonts w:ascii="Calibri" w:hAnsi="Calibri" w:cs="Arial"/>
          <w:sz w:val="24"/>
        </w:rPr>
        <w:t xml:space="preserve">Department of Justice </w:t>
      </w:r>
      <w:r w:rsidR="00C14A1A">
        <w:rPr>
          <w:rFonts w:ascii="Calibri" w:hAnsi="Calibri" w:cs="Arial"/>
          <w:sz w:val="24"/>
        </w:rPr>
        <w:t xml:space="preserve">study </w:t>
      </w:r>
      <w:r w:rsidR="008C70CF">
        <w:rPr>
          <w:rFonts w:ascii="Calibri" w:hAnsi="Calibri" w:cs="Arial"/>
          <w:sz w:val="24"/>
        </w:rPr>
        <w:t>of 15,000 respondents found that:</w:t>
      </w:r>
    </w:p>
    <w:p w:rsidR="008C70CF" w:rsidRDefault="0029149A" w:rsidP="008C70CF">
      <w:pPr>
        <w:numPr>
          <w:ilvl w:val="0"/>
          <w:numId w:val="22"/>
        </w:numPr>
        <w:spacing w:after="0" w:line="240" w:lineRule="auto"/>
        <w:rPr>
          <w:rFonts w:ascii="Calibri" w:hAnsi="Calibri"/>
          <w:sz w:val="24"/>
        </w:rPr>
      </w:pPr>
      <w:r>
        <w:rPr>
          <w:rFonts w:ascii="Calibri" w:hAnsi="Calibri"/>
          <w:sz w:val="24"/>
        </w:rPr>
        <w:t>46 per cent</w:t>
      </w:r>
      <w:r w:rsidR="008C70CF">
        <w:rPr>
          <w:rFonts w:ascii="Calibri" w:hAnsi="Calibri"/>
          <w:sz w:val="24"/>
        </w:rPr>
        <w:t xml:space="preserve"> </w:t>
      </w:r>
      <w:r w:rsidR="008C70CF" w:rsidRPr="00D34574">
        <w:rPr>
          <w:rFonts w:ascii="Calibri" w:hAnsi="Calibri"/>
          <w:sz w:val="24"/>
        </w:rPr>
        <w:t xml:space="preserve">reported anxiety as a </w:t>
      </w:r>
      <w:r>
        <w:rPr>
          <w:rFonts w:ascii="Calibri" w:hAnsi="Calibri"/>
          <w:sz w:val="24"/>
        </w:rPr>
        <w:t>major issue compared with 17.17 per cent</w:t>
      </w:r>
      <w:r w:rsidR="008C70CF" w:rsidRPr="00D34574">
        <w:rPr>
          <w:rFonts w:ascii="Calibri" w:hAnsi="Calibri"/>
          <w:sz w:val="24"/>
        </w:rPr>
        <w:t xml:space="preserve"> of moderate gamblers</w:t>
      </w:r>
      <w:r w:rsidR="008C70CF">
        <w:rPr>
          <w:rFonts w:ascii="Calibri" w:hAnsi="Calibri"/>
          <w:sz w:val="24"/>
        </w:rPr>
        <w:t>.</w:t>
      </w:r>
    </w:p>
    <w:p w:rsidR="008C70CF" w:rsidRPr="00D34574" w:rsidRDefault="0029149A" w:rsidP="008C70CF">
      <w:pPr>
        <w:numPr>
          <w:ilvl w:val="0"/>
          <w:numId w:val="22"/>
        </w:numPr>
        <w:spacing w:after="0" w:line="240" w:lineRule="auto"/>
        <w:rPr>
          <w:rFonts w:ascii="Calibri" w:hAnsi="Calibri"/>
          <w:sz w:val="24"/>
        </w:rPr>
      </w:pPr>
      <w:r>
        <w:rPr>
          <w:rFonts w:ascii="Calibri" w:hAnsi="Calibri"/>
          <w:sz w:val="24"/>
        </w:rPr>
        <w:t>43 per cent</w:t>
      </w:r>
      <w:r w:rsidR="008C70CF">
        <w:rPr>
          <w:rFonts w:ascii="Calibri" w:hAnsi="Calibri"/>
          <w:sz w:val="24"/>
        </w:rPr>
        <w:t xml:space="preserve"> </w:t>
      </w:r>
      <w:r w:rsidR="008C70CF" w:rsidRPr="00D34574">
        <w:rPr>
          <w:rFonts w:ascii="Calibri" w:hAnsi="Calibri"/>
          <w:sz w:val="24"/>
        </w:rPr>
        <w:t>of problem gamblers smoke between 11-20 cigarettes a day</w:t>
      </w:r>
      <w:r w:rsidR="00E96CC6">
        <w:rPr>
          <w:rFonts w:ascii="Calibri" w:hAnsi="Calibri"/>
          <w:sz w:val="24"/>
        </w:rPr>
        <w:t>.</w:t>
      </w:r>
    </w:p>
    <w:p w:rsidR="008C70CF" w:rsidRPr="00D34574" w:rsidRDefault="0029149A" w:rsidP="008C70CF">
      <w:pPr>
        <w:numPr>
          <w:ilvl w:val="0"/>
          <w:numId w:val="22"/>
        </w:numPr>
        <w:spacing w:after="0" w:line="240" w:lineRule="auto"/>
        <w:rPr>
          <w:rFonts w:ascii="Calibri" w:hAnsi="Calibri"/>
          <w:sz w:val="24"/>
        </w:rPr>
      </w:pPr>
      <w:r>
        <w:rPr>
          <w:rFonts w:ascii="Calibri" w:hAnsi="Calibri"/>
          <w:sz w:val="24"/>
        </w:rPr>
        <w:t>25 per cent</w:t>
      </w:r>
      <w:r w:rsidR="008C70CF">
        <w:rPr>
          <w:rFonts w:ascii="Calibri" w:hAnsi="Calibri"/>
          <w:sz w:val="24"/>
        </w:rPr>
        <w:t xml:space="preserve"> </w:t>
      </w:r>
      <w:r w:rsidR="008C70CF" w:rsidRPr="00D34574">
        <w:rPr>
          <w:rFonts w:ascii="Calibri" w:hAnsi="Calibri"/>
          <w:sz w:val="24"/>
        </w:rPr>
        <w:t xml:space="preserve">of problem gamblers risk alcohol consumption </w:t>
      </w:r>
      <w:r w:rsidR="008C70CF">
        <w:rPr>
          <w:rFonts w:ascii="Calibri" w:hAnsi="Calibri"/>
          <w:sz w:val="24"/>
        </w:rPr>
        <w:t xml:space="preserve">of between </w:t>
      </w:r>
      <w:r w:rsidR="008C70CF" w:rsidRPr="00D34574">
        <w:rPr>
          <w:rFonts w:ascii="Calibri" w:hAnsi="Calibri"/>
          <w:sz w:val="24"/>
        </w:rPr>
        <w:t>15-28 drinks per week.</w:t>
      </w:r>
    </w:p>
    <w:p w:rsidR="008C70CF" w:rsidRPr="00D34574" w:rsidRDefault="0029149A" w:rsidP="008C70CF">
      <w:pPr>
        <w:numPr>
          <w:ilvl w:val="0"/>
          <w:numId w:val="22"/>
        </w:numPr>
        <w:spacing w:after="0" w:line="240" w:lineRule="auto"/>
        <w:rPr>
          <w:rFonts w:ascii="Calibri" w:hAnsi="Calibri"/>
          <w:sz w:val="24"/>
        </w:rPr>
      </w:pPr>
      <w:r>
        <w:rPr>
          <w:rFonts w:ascii="Calibri" w:hAnsi="Calibri"/>
          <w:sz w:val="24"/>
        </w:rPr>
        <w:t>52 per cent</w:t>
      </w:r>
      <w:r w:rsidR="008C70CF">
        <w:rPr>
          <w:rFonts w:ascii="Calibri" w:hAnsi="Calibri"/>
          <w:sz w:val="24"/>
        </w:rPr>
        <w:t xml:space="preserve"> reported d</w:t>
      </w:r>
      <w:r w:rsidR="008C70CF" w:rsidRPr="00D34574">
        <w:rPr>
          <w:rFonts w:ascii="Calibri" w:hAnsi="Calibri"/>
          <w:sz w:val="24"/>
        </w:rPr>
        <w:t xml:space="preserve">epression as a </w:t>
      </w:r>
      <w:r>
        <w:rPr>
          <w:rFonts w:ascii="Calibri" w:hAnsi="Calibri"/>
          <w:sz w:val="24"/>
        </w:rPr>
        <w:t>major issue compared with 20.33 per cent</w:t>
      </w:r>
      <w:r w:rsidR="008C70CF" w:rsidRPr="00D34574">
        <w:rPr>
          <w:rFonts w:ascii="Calibri" w:hAnsi="Calibri"/>
          <w:sz w:val="24"/>
        </w:rPr>
        <w:t xml:space="preserve"> for moderate gamblers.</w:t>
      </w:r>
    </w:p>
    <w:p w:rsidR="008C70CF" w:rsidRPr="00D34574" w:rsidRDefault="008C70CF" w:rsidP="008C70CF">
      <w:pPr>
        <w:numPr>
          <w:ilvl w:val="0"/>
          <w:numId w:val="22"/>
        </w:numPr>
        <w:spacing w:after="0" w:line="240" w:lineRule="auto"/>
        <w:rPr>
          <w:rFonts w:ascii="Calibri" w:hAnsi="Calibri"/>
          <w:sz w:val="24"/>
        </w:rPr>
      </w:pPr>
      <w:r w:rsidRPr="00D34574">
        <w:rPr>
          <w:rFonts w:ascii="Calibri" w:hAnsi="Calibri"/>
          <w:sz w:val="24"/>
        </w:rPr>
        <w:t>21</w:t>
      </w:r>
      <w:r w:rsidR="0029149A">
        <w:rPr>
          <w:rFonts w:ascii="Calibri" w:hAnsi="Calibri"/>
          <w:sz w:val="24"/>
        </w:rPr>
        <w:t xml:space="preserve"> per cent</w:t>
      </w:r>
      <w:r>
        <w:rPr>
          <w:rFonts w:ascii="Calibri" w:hAnsi="Calibri"/>
          <w:sz w:val="24"/>
        </w:rPr>
        <w:t xml:space="preserve"> of problem gamblers were obese</w:t>
      </w:r>
      <w:r w:rsidR="00E96CC6">
        <w:rPr>
          <w:rFonts w:ascii="Calibri" w:hAnsi="Calibri"/>
          <w:sz w:val="24"/>
        </w:rPr>
        <w:t>.</w:t>
      </w:r>
    </w:p>
    <w:p w:rsidR="008C70CF" w:rsidRPr="00A775CF" w:rsidRDefault="0029149A" w:rsidP="00A775CF">
      <w:pPr>
        <w:pStyle w:val="ListParagraph"/>
        <w:numPr>
          <w:ilvl w:val="0"/>
          <w:numId w:val="22"/>
        </w:numPr>
        <w:rPr>
          <w:rFonts w:ascii="Calibri" w:hAnsi="Calibri" w:cs="Arial"/>
          <w:sz w:val="24"/>
        </w:rPr>
      </w:pPr>
      <w:r>
        <w:rPr>
          <w:rFonts w:ascii="Calibri" w:hAnsi="Calibri"/>
          <w:sz w:val="24"/>
        </w:rPr>
        <w:t>28 per cent</w:t>
      </w:r>
      <w:r w:rsidR="008C70CF" w:rsidRPr="00A775CF">
        <w:rPr>
          <w:rFonts w:ascii="Calibri" w:hAnsi="Calibri"/>
          <w:sz w:val="24"/>
        </w:rPr>
        <w:t xml:space="preserve"> of problem gamblers had a disability</w:t>
      </w:r>
      <w:r w:rsidR="00E96CC6">
        <w:rPr>
          <w:rFonts w:ascii="Calibri" w:hAnsi="Calibri"/>
          <w:sz w:val="24"/>
        </w:rPr>
        <w:t>.</w:t>
      </w:r>
    </w:p>
    <w:p w:rsidR="00D37D9B" w:rsidRPr="00031FC6" w:rsidRDefault="00D37D9B" w:rsidP="00D37D9B">
      <w:pPr>
        <w:rPr>
          <w:rFonts w:ascii="Calibri" w:hAnsi="Calibri"/>
          <w:b/>
          <w:i/>
          <w:sz w:val="24"/>
        </w:rPr>
      </w:pPr>
      <w:r w:rsidRPr="00031FC6">
        <w:rPr>
          <w:rFonts w:ascii="Calibri" w:hAnsi="Calibri"/>
          <w:b/>
          <w:i/>
          <w:sz w:val="24"/>
        </w:rPr>
        <w:t>Income stress and Poverty</w:t>
      </w:r>
    </w:p>
    <w:p w:rsidR="00D37D9B" w:rsidRDefault="0042429E" w:rsidP="00D37D9B">
      <w:pPr>
        <w:rPr>
          <w:rFonts w:ascii="Calibri" w:hAnsi="Calibri"/>
          <w:sz w:val="24"/>
        </w:rPr>
      </w:pPr>
      <w:r>
        <w:rPr>
          <w:rFonts w:ascii="Calibri" w:hAnsi="Calibri"/>
          <w:sz w:val="24"/>
        </w:rPr>
        <w:t>A</w:t>
      </w:r>
      <w:r w:rsidR="00D37D9B">
        <w:rPr>
          <w:rFonts w:ascii="Calibri" w:hAnsi="Calibri"/>
          <w:sz w:val="24"/>
        </w:rPr>
        <w:t xml:space="preserve"> high proportion of problem gamblers are already on low</w:t>
      </w:r>
      <w:r w:rsidR="00C14A1A">
        <w:rPr>
          <w:rFonts w:ascii="Calibri" w:hAnsi="Calibri"/>
          <w:sz w:val="24"/>
        </w:rPr>
        <w:t xml:space="preserve"> or moderate</w:t>
      </w:r>
      <w:r w:rsidR="00D37D9B">
        <w:rPr>
          <w:rFonts w:ascii="Calibri" w:hAnsi="Calibri"/>
          <w:sz w:val="24"/>
        </w:rPr>
        <w:t xml:space="preserve"> incomes</w:t>
      </w:r>
      <w:r w:rsidR="00C14A1A">
        <w:rPr>
          <w:rFonts w:ascii="Calibri" w:hAnsi="Calibri"/>
          <w:sz w:val="24"/>
        </w:rPr>
        <w:t>.</w:t>
      </w:r>
      <w:r w:rsidR="005118E1">
        <w:rPr>
          <w:rFonts w:ascii="Calibri" w:hAnsi="Calibri"/>
          <w:sz w:val="24"/>
        </w:rPr>
        <w:t xml:space="preserve"> </w:t>
      </w:r>
      <w:r w:rsidR="00D37D9B">
        <w:rPr>
          <w:rFonts w:ascii="Calibri" w:hAnsi="Calibri"/>
          <w:sz w:val="24"/>
        </w:rPr>
        <w:t xml:space="preserve"> </w:t>
      </w:r>
      <w:r w:rsidR="00C14A1A">
        <w:rPr>
          <w:rFonts w:ascii="Calibri" w:hAnsi="Calibri"/>
          <w:sz w:val="24"/>
        </w:rPr>
        <w:t>Gambling problems exacerbate financial</w:t>
      </w:r>
      <w:r w:rsidR="00D37D9B">
        <w:rPr>
          <w:rFonts w:ascii="Calibri" w:hAnsi="Calibri"/>
          <w:sz w:val="24"/>
        </w:rPr>
        <w:t xml:space="preserve"> problems a</w:t>
      </w:r>
      <w:r w:rsidR="00C14A1A">
        <w:rPr>
          <w:rFonts w:ascii="Calibri" w:hAnsi="Calibri"/>
          <w:sz w:val="24"/>
        </w:rPr>
        <w:t>nd can lead to</w:t>
      </w:r>
      <w:r w:rsidR="00D37D9B">
        <w:rPr>
          <w:rFonts w:ascii="Calibri" w:hAnsi="Calibri"/>
          <w:sz w:val="24"/>
        </w:rPr>
        <w:t xml:space="preserve"> reliance on social welfare services and charities</w:t>
      </w:r>
      <w:r w:rsidR="00C14A1A">
        <w:rPr>
          <w:rFonts w:ascii="Calibri" w:hAnsi="Calibri"/>
          <w:sz w:val="24"/>
        </w:rPr>
        <w:t>,</w:t>
      </w:r>
      <w:r w:rsidR="00D37D9B">
        <w:rPr>
          <w:rFonts w:ascii="Calibri" w:hAnsi="Calibri"/>
          <w:sz w:val="24"/>
        </w:rPr>
        <w:t xml:space="preserve"> and </w:t>
      </w:r>
      <w:r w:rsidR="00C14A1A">
        <w:rPr>
          <w:rFonts w:ascii="Calibri" w:hAnsi="Calibri"/>
          <w:sz w:val="24"/>
        </w:rPr>
        <w:t>a heightened</w:t>
      </w:r>
      <w:r w:rsidR="00D37D9B">
        <w:rPr>
          <w:rFonts w:ascii="Calibri" w:hAnsi="Calibri"/>
          <w:sz w:val="24"/>
        </w:rPr>
        <w:t xml:space="preserve"> risk of homelessness. </w:t>
      </w:r>
    </w:p>
    <w:p w:rsidR="00D37D9B" w:rsidRPr="00AE6D8B" w:rsidRDefault="00C14A1A" w:rsidP="00D37D9B">
      <w:pPr>
        <w:rPr>
          <w:b/>
        </w:rPr>
      </w:pPr>
      <w:r>
        <w:rPr>
          <w:rFonts w:ascii="Calibri" w:hAnsi="Calibri"/>
          <w:sz w:val="24"/>
        </w:rPr>
        <w:t>F</w:t>
      </w:r>
      <w:r w:rsidR="00D37D9B" w:rsidRPr="005F4435">
        <w:rPr>
          <w:rFonts w:ascii="Calibri" w:hAnsi="Calibri"/>
          <w:sz w:val="24"/>
        </w:rPr>
        <w:t>inancial loss</w:t>
      </w:r>
      <w:r>
        <w:rPr>
          <w:rFonts w:ascii="Calibri" w:hAnsi="Calibri"/>
          <w:sz w:val="24"/>
        </w:rPr>
        <w:t>es, and ‘chasing’ behaviour (via which gamblers seek to recover such losses)</w:t>
      </w:r>
      <w:r w:rsidR="00D37D9B" w:rsidRPr="005F4435">
        <w:rPr>
          <w:rFonts w:ascii="Calibri" w:hAnsi="Calibri"/>
          <w:sz w:val="24"/>
        </w:rPr>
        <w:t xml:space="preserve"> </w:t>
      </w:r>
      <w:r>
        <w:rPr>
          <w:rFonts w:ascii="Calibri" w:hAnsi="Calibri"/>
          <w:sz w:val="24"/>
        </w:rPr>
        <w:t>are an early marker of gambling problems.</w:t>
      </w:r>
      <w:r w:rsidR="005118E1">
        <w:rPr>
          <w:rFonts w:ascii="Calibri" w:hAnsi="Calibri"/>
          <w:sz w:val="24"/>
        </w:rPr>
        <w:t xml:space="preserve"> </w:t>
      </w:r>
      <w:r>
        <w:rPr>
          <w:rFonts w:ascii="Calibri" w:hAnsi="Calibri"/>
          <w:sz w:val="24"/>
        </w:rPr>
        <w:t>T</w:t>
      </w:r>
      <w:r w:rsidR="00D37D9B" w:rsidRPr="005F4435">
        <w:rPr>
          <w:rFonts w:ascii="Calibri" w:hAnsi="Calibri"/>
          <w:sz w:val="24"/>
        </w:rPr>
        <w:t xml:space="preserve">he </w:t>
      </w:r>
      <w:r>
        <w:rPr>
          <w:rFonts w:ascii="Calibri" w:hAnsi="Calibri"/>
          <w:sz w:val="24"/>
        </w:rPr>
        <w:t>impacts of financial stress are thus linked to the</w:t>
      </w:r>
      <w:r w:rsidR="00D37D9B" w:rsidRPr="005F4435">
        <w:rPr>
          <w:rFonts w:ascii="Calibri" w:hAnsi="Calibri"/>
          <w:sz w:val="24"/>
        </w:rPr>
        <w:t xml:space="preserve"> social impacts of problem gambling</w:t>
      </w:r>
      <w:r w:rsidR="00D37D9B">
        <w:rPr>
          <w:rFonts w:ascii="Calibri" w:hAnsi="Calibri"/>
          <w:sz w:val="24"/>
        </w:rPr>
        <w:t xml:space="preserve">. </w:t>
      </w:r>
      <w:r w:rsidR="00D37D9B" w:rsidRPr="005F4435">
        <w:rPr>
          <w:rFonts w:ascii="Calibri" w:hAnsi="Calibri"/>
          <w:sz w:val="24"/>
        </w:rPr>
        <w:t xml:space="preserve">Uncontrolled </w:t>
      </w:r>
      <w:r>
        <w:rPr>
          <w:rFonts w:ascii="Calibri" w:hAnsi="Calibri"/>
          <w:sz w:val="24"/>
        </w:rPr>
        <w:t xml:space="preserve">gambling </w:t>
      </w:r>
      <w:r w:rsidR="00D37D9B" w:rsidRPr="005F4435">
        <w:rPr>
          <w:rFonts w:ascii="Calibri" w:hAnsi="Calibri"/>
          <w:sz w:val="24"/>
        </w:rPr>
        <w:t xml:space="preserve">spending and </w:t>
      </w:r>
      <w:r>
        <w:rPr>
          <w:rFonts w:ascii="Calibri" w:hAnsi="Calibri"/>
          <w:sz w:val="24"/>
        </w:rPr>
        <w:t xml:space="preserve">resultant </w:t>
      </w:r>
      <w:r w:rsidR="00D37D9B" w:rsidRPr="005F4435">
        <w:rPr>
          <w:rFonts w:ascii="Calibri" w:hAnsi="Calibri"/>
          <w:sz w:val="24"/>
        </w:rPr>
        <w:t>household financial stress</w:t>
      </w:r>
      <w:r>
        <w:rPr>
          <w:rFonts w:ascii="Calibri" w:hAnsi="Calibri"/>
          <w:sz w:val="24"/>
        </w:rPr>
        <w:t>,</w:t>
      </w:r>
      <w:r w:rsidR="00D37D9B" w:rsidRPr="005F4435">
        <w:rPr>
          <w:rFonts w:ascii="Calibri" w:hAnsi="Calibri"/>
          <w:sz w:val="24"/>
        </w:rPr>
        <w:t xml:space="preserve"> </w:t>
      </w:r>
      <w:r>
        <w:rPr>
          <w:rFonts w:ascii="Calibri" w:hAnsi="Calibri"/>
          <w:sz w:val="24"/>
        </w:rPr>
        <w:t>adversely</w:t>
      </w:r>
      <w:r w:rsidR="00D37D9B">
        <w:rPr>
          <w:rFonts w:ascii="Calibri" w:hAnsi="Calibri"/>
          <w:sz w:val="24"/>
        </w:rPr>
        <w:t xml:space="preserve"> </w:t>
      </w:r>
      <w:r w:rsidR="00D37D9B" w:rsidRPr="005F4435">
        <w:rPr>
          <w:rFonts w:ascii="Calibri" w:hAnsi="Calibri"/>
          <w:sz w:val="24"/>
        </w:rPr>
        <w:t xml:space="preserve">affect the </w:t>
      </w:r>
      <w:r w:rsidR="00D37D9B">
        <w:rPr>
          <w:rFonts w:ascii="Calibri" w:hAnsi="Calibri"/>
          <w:sz w:val="24"/>
        </w:rPr>
        <w:t xml:space="preserve">financial security </w:t>
      </w:r>
      <w:r w:rsidR="00D37D9B" w:rsidRPr="005F4435">
        <w:rPr>
          <w:rFonts w:ascii="Calibri" w:hAnsi="Calibri"/>
          <w:sz w:val="24"/>
        </w:rPr>
        <w:t>of an individual or their family,</w:t>
      </w:r>
      <w:r w:rsidR="00D37D9B">
        <w:rPr>
          <w:rFonts w:ascii="Calibri" w:hAnsi="Calibri"/>
          <w:sz w:val="24"/>
        </w:rPr>
        <w:t xml:space="preserve"> impacting on food security and an ability to pay </w:t>
      </w:r>
      <w:r>
        <w:rPr>
          <w:rFonts w:ascii="Calibri" w:hAnsi="Calibri"/>
          <w:sz w:val="24"/>
        </w:rPr>
        <w:t xml:space="preserve">necessary </w:t>
      </w:r>
      <w:r w:rsidR="00D37D9B">
        <w:rPr>
          <w:rFonts w:ascii="Calibri" w:hAnsi="Calibri"/>
          <w:sz w:val="24"/>
        </w:rPr>
        <w:t>expenses.</w:t>
      </w:r>
    </w:p>
    <w:p w:rsidR="009E764C" w:rsidRPr="00031FC6" w:rsidRDefault="009E764C" w:rsidP="009E764C">
      <w:pPr>
        <w:spacing w:before="120"/>
        <w:rPr>
          <w:rFonts w:ascii="Calibri" w:hAnsi="Calibri"/>
          <w:b/>
          <w:i/>
          <w:sz w:val="24"/>
        </w:rPr>
      </w:pPr>
      <w:r w:rsidRPr="00031FC6">
        <w:rPr>
          <w:rFonts w:ascii="Calibri" w:hAnsi="Calibri"/>
          <w:b/>
          <w:i/>
          <w:sz w:val="24"/>
        </w:rPr>
        <w:t>F</w:t>
      </w:r>
      <w:r w:rsidR="00B658D5" w:rsidRPr="00031FC6">
        <w:rPr>
          <w:rFonts w:ascii="Calibri" w:hAnsi="Calibri"/>
          <w:b/>
          <w:i/>
          <w:sz w:val="24"/>
        </w:rPr>
        <w:t>amily violence</w:t>
      </w:r>
    </w:p>
    <w:p w:rsidR="00C30FFA" w:rsidRDefault="00C30FFA" w:rsidP="009E764C">
      <w:pPr>
        <w:rPr>
          <w:rFonts w:ascii="Calibri" w:hAnsi="Calibri"/>
          <w:sz w:val="24"/>
        </w:rPr>
      </w:pPr>
      <w:r>
        <w:rPr>
          <w:rFonts w:ascii="Calibri" w:hAnsi="Calibri"/>
          <w:sz w:val="24"/>
        </w:rPr>
        <w:t>Problem gamblers are more likely to face family and relationship breakdown issues as a result of the pressures of problem gambling.</w:t>
      </w:r>
      <w:r w:rsidR="00E96CC6">
        <w:rPr>
          <w:rFonts w:ascii="Calibri" w:hAnsi="Calibri"/>
          <w:sz w:val="24"/>
        </w:rPr>
        <w:t xml:space="preserve"> </w:t>
      </w:r>
      <w:r w:rsidRPr="003762CD">
        <w:rPr>
          <w:rFonts w:ascii="Calibri" w:hAnsi="Calibri"/>
          <w:sz w:val="24"/>
        </w:rPr>
        <w:t>A qualitative research project in Victoria found that there was a link between family violence and problem gambling. Family violence increased with the development of gambling problems,</w:t>
      </w:r>
      <w:r w:rsidR="00C14A1A">
        <w:rPr>
          <w:rFonts w:ascii="Calibri" w:hAnsi="Calibri"/>
          <w:sz w:val="24"/>
        </w:rPr>
        <w:t xml:space="preserve"> in some circumstances where dispute</w:t>
      </w:r>
      <w:r w:rsidRPr="003762CD">
        <w:rPr>
          <w:rFonts w:ascii="Calibri" w:hAnsi="Calibri"/>
          <w:sz w:val="24"/>
        </w:rPr>
        <w:t xml:space="preserve"> </w:t>
      </w:r>
      <w:r w:rsidR="008048D4">
        <w:rPr>
          <w:rFonts w:ascii="Calibri" w:hAnsi="Calibri"/>
          <w:sz w:val="24"/>
        </w:rPr>
        <w:t>the extent and effects of the problem</w:t>
      </w:r>
      <w:r w:rsidR="00DA337C">
        <w:rPr>
          <w:rFonts w:ascii="Calibri" w:hAnsi="Calibri"/>
          <w:sz w:val="24"/>
        </w:rPr>
        <w:t>.</w:t>
      </w:r>
      <w:r w:rsidR="00E96CC6">
        <w:rPr>
          <w:rFonts w:ascii="Calibri" w:hAnsi="Calibri"/>
          <w:sz w:val="24"/>
        </w:rPr>
        <w:t xml:space="preserve"> </w:t>
      </w:r>
      <w:r w:rsidR="008048D4">
        <w:rPr>
          <w:rFonts w:ascii="Calibri" w:hAnsi="Calibri"/>
          <w:sz w:val="24"/>
        </w:rPr>
        <w:t xml:space="preserve">There is also </w:t>
      </w:r>
      <w:r w:rsidRPr="003762CD">
        <w:rPr>
          <w:rFonts w:ascii="Calibri" w:hAnsi="Calibri"/>
          <w:sz w:val="24"/>
        </w:rPr>
        <w:t xml:space="preserve">an increased risk of gambling problems </w:t>
      </w:r>
      <w:r w:rsidR="00C14A1A">
        <w:rPr>
          <w:rFonts w:ascii="Calibri" w:hAnsi="Calibri"/>
          <w:sz w:val="24"/>
        </w:rPr>
        <w:t>in</w:t>
      </w:r>
      <w:r w:rsidRPr="003762CD">
        <w:rPr>
          <w:rFonts w:ascii="Calibri" w:hAnsi="Calibri"/>
          <w:sz w:val="24"/>
        </w:rPr>
        <w:t xml:space="preserve"> the presence of family violence</w:t>
      </w:r>
      <w:r w:rsidR="00C14A1A">
        <w:rPr>
          <w:rFonts w:ascii="Calibri" w:hAnsi="Calibri"/>
          <w:sz w:val="24"/>
        </w:rPr>
        <w:t>,</w:t>
      </w:r>
      <w:r w:rsidRPr="003762CD">
        <w:rPr>
          <w:rFonts w:ascii="Calibri" w:hAnsi="Calibri"/>
          <w:sz w:val="24"/>
        </w:rPr>
        <w:t xml:space="preserve"> as </w:t>
      </w:r>
      <w:r>
        <w:rPr>
          <w:rFonts w:ascii="Calibri" w:hAnsi="Calibri"/>
          <w:sz w:val="24"/>
        </w:rPr>
        <w:t xml:space="preserve">women gamble </w:t>
      </w:r>
      <w:r w:rsidR="008048D4">
        <w:rPr>
          <w:rFonts w:ascii="Calibri" w:hAnsi="Calibri"/>
          <w:sz w:val="24"/>
        </w:rPr>
        <w:t>in search of a relief from</w:t>
      </w:r>
      <w:r>
        <w:rPr>
          <w:rFonts w:ascii="Calibri" w:hAnsi="Calibri"/>
          <w:sz w:val="24"/>
        </w:rPr>
        <w:t xml:space="preserve"> abuse</w:t>
      </w:r>
      <w:r w:rsidR="00CE49FA">
        <w:rPr>
          <w:rFonts w:ascii="Calibri" w:hAnsi="Calibri"/>
          <w:sz w:val="24"/>
        </w:rPr>
        <w:t>.</w:t>
      </w:r>
    </w:p>
    <w:p w:rsidR="00CE49FA" w:rsidRPr="00A856A3" w:rsidRDefault="00CE49FA" w:rsidP="00CE49FA">
      <w:pPr>
        <w:spacing w:before="120"/>
        <w:rPr>
          <w:rFonts w:ascii="Calibri" w:hAnsi="Calibri"/>
          <w:b/>
          <w:i/>
          <w:sz w:val="24"/>
        </w:rPr>
      </w:pPr>
      <w:r w:rsidRPr="00A856A3">
        <w:rPr>
          <w:rFonts w:ascii="Calibri" w:hAnsi="Calibri"/>
          <w:b/>
          <w:i/>
          <w:sz w:val="24"/>
        </w:rPr>
        <w:t>Crime</w:t>
      </w:r>
    </w:p>
    <w:p w:rsidR="00CE49FA" w:rsidRDefault="00CE49FA" w:rsidP="00CE49FA">
      <w:pPr>
        <w:spacing w:before="120"/>
        <w:rPr>
          <w:rFonts w:ascii="Calibri" w:hAnsi="Calibri"/>
          <w:sz w:val="24"/>
        </w:rPr>
      </w:pPr>
      <w:r>
        <w:rPr>
          <w:rFonts w:ascii="Calibri" w:hAnsi="Calibri"/>
          <w:sz w:val="24"/>
        </w:rPr>
        <w:t>Several studies demonstrate that income</w:t>
      </w:r>
      <w:r w:rsidR="00C14A1A">
        <w:rPr>
          <w:rFonts w:ascii="Calibri" w:hAnsi="Calibri"/>
          <w:sz w:val="24"/>
        </w:rPr>
        <w:t>-</w:t>
      </w:r>
      <w:r>
        <w:rPr>
          <w:rFonts w:ascii="Calibri" w:hAnsi="Calibri"/>
          <w:sz w:val="24"/>
        </w:rPr>
        <w:t>generating crimes such as theft, break</w:t>
      </w:r>
      <w:r w:rsidR="00C14A1A">
        <w:rPr>
          <w:rFonts w:ascii="Calibri" w:hAnsi="Calibri"/>
          <w:sz w:val="24"/>
        </w:rPr>
        <w:t>ing</w:t>
      </w:r>
      <w:r>
        <w:rPr>
          <w:rFonts w:ascii="Calibri" w:hAnsi="Calibri"/>
          <w:sz w:val="24"/>
        </w:rPr>
        <w:t xml:space="preserve"> and enter</w:t>
      </w:r>
      <w:r w:rsidR="00C14A1A">
        <w:rPr>
          <w:rFonts w:ascii="Calibri" w:hAnsi="Calibri"/>
          <w:sz w:val="24"/>
        </w:rPr>
        <w:t>ing</w:t>
      </w:r>
      <w:r>
        <w:rPr>
          <w:rFonts w:ascii="Calibri" w:hAnsi="Calibri"/>
          <w:sz w:val="24"/>
        </w:rPr>
        <w:t xml:space="preserve"> and fraud are used by some problem gamblers to support their addiction.</w:t>
      </w:r>
    </w:p>
    <w:p w:rsidR="00504E4A" w:rsidRPr="004D173D" w:rsidRDefault="00CE49FA" w:rsidP="00BF0D8E">
      <w:pPr>
        <w:rPr>
          <w:sz w:val="24"/>
          <w:szCs w:val="24"/>
        </w:rPr>
      </w:pPr>
      <w:r>
        <w:rPr>
          <w:rFonts w:ascii="Calibri" w:hAnsi="Calibri"/>
          <w:sz w:val="24"/>
        </w:rPr>
        <w:t>A 2008 study of all Australian convictions for deception related offences between 1998 and 2007 identified 528 criminal cases in which gambling was a significant factor.</w:t>
      </w:r>
      <w:r w:rsidR="005118E1">
        <w:rPr>
          <w:rFonts w:ascii="Calibri" w:hAnsi="Calibri"/>
          <w:sz w:val="24"/>
        </w:rPr>
        <w:t xml:space="preserve"> </w:t>
      </w:r>
      <w:r>
        <w:rPr>
          <w:rFonts w:ascii="Calibri" w:hAnsi="Calibri"/>
          <w:sz w:val="24"/>
        </w:rPr>
        <w:t xml:space="preserve">The study found that Victoria has the highest number of criminal cases relating to gambling at 156, as well as the highest losses to fraud </w:t>
      </w:r>
      <w:r w:rsidR="00CA1AB6">
        <w:rPr>
          <w:rFonts w:ascii="Calibri" w:hAnsi="Calibri"/>
          <w:sz w:val="24"/>
        </w:rPr>
        <w:t xml:space="preserve">at </w:t>
      </w:r>
      <w:r>
        <w:rPr>
          <w:rFonts w:ascii="Calibri" w:hAnsi="Calibri"/>
          <w:sz w:val="24"/>
        </w:rPr>
        <w:t>$102.7 million</w:t>
      </w:r>
      <w:r w:rsidR="00A856A3">
        <w:rPr>
          <w:rFonts w:ascii="Calibri" w:hAnsi="Calibri"/>
          <w:sz w:val="24"/>
        </w:rPr>
        <w:t>.</w:t>
      </w:r>
      <w:r w:rsidR="005118E1">
        <w:rPr>
          <w:rFonts w:ascii="Calibri" w:hAnsi="Calibri"/>
          <w:sz w:val="24"/>
        </w:rPr>
        <w:t xml:space="preserve"> </w:t>
      </w:r>
      <w:r w:rsidR="00A856A3">
        <w:rPr>
          <w:rFonts w:ascii="Calibri" w:hAnsi="Calibri"/>
          <w:sz w:val="24"/>
        </w:rPr>
        <w:t>Research undertaken by the Productivity Commission in 1999</w:t>
      </w:r>
      <w:r w:rsidR="00A856A3" w:rsidRPr="00A62235">
        <w:rPr>
          <w:rFonts w:ascii="Calibri" w:hAnsi="Calibri"/>
          <w:sz w:val="24"/>
        </w:rPr>
        <w:t xml:space="preserve"> </w:t>
      </w:r>
      <w:r w:rsidR="00A856A3">
        <w:rPr>
          <w:rFonts w:ascii="Calibri" w:hAnsi="Calibri"/>
          <w:sz w:val="24"/>
        </w:rPr>
        <w:t xml:space="preserve">estimates that 1 in 10 problem gamblers </w:t>
      </w:r>
      <w:r w:rsidR="00A856A3" w:rsidRPr="00A62235">
        <w:rPr>
          <w:rFonts w:ascii="Calibri" w:hAnsi="Calibri"/>
          <w:sz w:val="24"/>
        </w:rPr>
        <w:t>have committed a crim</w:t>
      </w:r>
      <w:r w:rsidR="00A856A3">
        <w:rPr>
          <w:rFonts w:ascii="Calibri" w:hAnsi="Calibri"/>
          <w:sz w:val="24"/>
        </w:rPr>
        <w:t>e to finance their gambling.</w:t>
      </w:r>
    </w:p>
    <w:sectPr w:rsidR="00504E4A" w:rsidRPr="004D173D" w:rsidSect="00C23B25">
      <w:footerReference w:type="even"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6E" w:rsidRDefault="00F2396E" w:rsidP="00FA3A5E">
      <w:pPr>
        <w:spacing w:after="0" w:line="240" w:lineRule="auto"/>
      </w:pPr>
      <w:r>
        <w:separator/>
      </w:r>
    </w:p>
  </w:endnote>
  <w:endnote w:type="continuationSeparator" w:id="0">
    <w:p w:rsidR="00F2396E" w:rsidRDefault="00F2396E" w:rsidP="00FA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6E" w:rsidRDefault="00F2396E">
    <w:pPr>
      <w:pStyle w:val="Footer"/>
    </w:pPr>
  </w:p>
  <w:p w:rsidR="00F2396E" w:rsidRPr="00230F20" w:rsidRDefault="00F2396E">
    <w:pPr>
      <w:pStyle w:val="Footer"/>
      <w:rPr>
        <w:rFonts w:ascii="Arial" w:hAnsi="Arial" w:cs="Arial"/>
        <w:sz w:val="14"/>
      </w:rPr>
    </w:pPr>
    <w:r w:rsidRPr="00230F20">
      <w:rPr>
        <w:rFonts w:ascii="Arial" w:hAnsi="Arial" w:cs="Arial"/>
        <w:sz w:val="14"/>
      </w:rPr>
      <w:t>[6700620: 16087842_1]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6E" w:rsidRPr="00510386" w:rsidRDefault="001D4996">
    <w:pPr>
      <w:pStyle w:val="Footer"/>
      <w:pBdr>
        <w:top w:val="thinThickSmallGap" w:sz="24" w:space="1" w:color="622423" w:themeColor="accent2" w:themeShade="7F"/>
      </w:pBdr>
      <w:rPr>
        <w:sz w:val="20"/>
        <w:szCs w:val="20"/>
      </w:rPr>
    </w:pPr>
    <w:r>
      <w:rPr>
        <w:sz w:val="20"/>
        <w:szCs w:val="20"/>
      </w:rPr>
      <w:t>Appendix 1: Gambling Background Paper 2016</w:t>
    </w:r>
    <w:r w:rsidR="00F2396E" w:rsidRPr="00510386">
      <w:rPr>
        <w:sz w:val="20"/>
        <w:szCs w:val="20"/>
      </w:rPr>
      <w:ptab w:relativeTo="margin" w:alignment="right" w:leader="none"/>
    </w:r>
    <w:r w:rsidR="00F2396E" w:rsidRPr="00510386">
      <w:rPr>
        <w:sz w:val="20"/>
        <w:szCs w:val="20"/>
      </w:rPr>
      <w:t xml:space="preserve">Page </w:t>
    </w:r>
    <w:r w:rsidR="00F82738">
      <w:fldChar w:fldCharType="begin"/>
    </w:r>
    <w:r w:rsidR="00F2396E">
      <w:instrText xml:space="preserve"> PAGE   \* MERGEFORMAT </w:instrText>
    </w:r>
    <w:r w:rsidR="00F82738">
      <w:fldChar w:fldCharType="separate"/>
    </w:r>
    <w:r w:rsidR="00653410" w:rsidRPr="00653410">
      <w:rPr>
        <w:noProof/>
        <w:sz w:val="20"/>
        <w:szCs w:val="20"/>
      </w:rPr>
      <w:t>1</w:t>
    </w:r>
    <w:r w:rsidR="00F8273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6E" w:rsidRDefault="00F2396E" w:rsidP="00FA3A5E">
      <w:pPr>
        <w:spacing w:after="0" w:line="240" w:lineRule="auto"/>
      </w:pPr>
      <w:r>
        <w:separator/>
      </w:r>
    </w:p>
  </w:footnote>
  <w:footnote w:type="continuationSeparator" w:id="0">
    <w:p w:rsidR="00F2396E" w:rsidRDefault="00F2396E" w:rsidP="00FA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29E"/>
    <w:multiLevelType w:val="hybridMultilevel"/>
    <w:tmpl w:val="4F60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75F41"/>
    <w:multiLevelType w:val="hybridMultilevel"/>
    <w:tmpl w:val="FF90F6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83749"/>
    <w:multiLevelType w:val="hybridMultilevel"/>
    <w:tmpl w:val="AD22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97492"/>
    <w:multiLevelType w:val="hybridMultilevel"/>
    <w:tmpl w:val="CE1466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40F21"/>
    <w:multiLevelType w:val="hybridMultilevel"/>
    <w:tmpl w:val="DFD4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24CE2"/>
    <w:multiLevelType w:val="hybridMultilevel"/>
    <w:tmpl w:val="1BEA4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504AEE"/>
    <w:multiLevelType w:val="hybridMultilevel"/>
    <w:tmpl w:val="5F58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53E09"/>
    <w:multiLevelType w:val="hybridMultilevel"/>
    <w:tmpl w:val="34C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91102"/>
    <w:multiLevelType w:val="hybridMultilevel"/>
    <w:tmpl w:val="61D2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07517"/>
    <w:multiLevelType w:val="hybridMultilevel"/>
    <w:tmpl w:val="9206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03B11"/>
    <w:multiLevelType w:val="hybridMultilevel"/>
    <w:tmpl w:val="5DF2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24BB8"/>
    <w:multiLevelType w:val="hybridMultilevel"/>
    <w:tmpl w:val="3886C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703029"/>
    <w:multiLevelType w:val="hybridMultilevel"/>
    <w:tmpl w:val="BDBC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B304F"/>
    <w:multiLevelType w:val="hybridMultilevel"/>
    <w:tmpl w:val="A6F0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05228"/>
    <w:multiLevelType w:val="hybridMultilevel"/>
    <w:tmpl w:val="3C1A1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B60AF8"/>
    <w:multiLevelType w:val="hybridMultilevel"/>
    <w:tmpl w:val="213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52637"/>
    <w:multiLevelType w:val="hybridMultilevel"/>
    <w:tmpl w:val="7FECFC2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6006702"/>
    <w:multiLevelType w:val="hybridMultilevel"/>
    <w:tmpl w:val="F136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046B7"/>
    <w:multiLevelType w:val="hybridMultilevel"/>
    <w:tmpl w:val="4282C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B02B6"/>
    <w:multiLevelType w:val="hybridMultilevel"/>
    <w:tmpl w:val="95F45F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444EC"/>
    <w:multiLevelType w:val="hybridMultilevel"/>
    <w:tmpl w:val="C9F0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624C7"/>
    <w:multiLevelType w:val="hybridMultilevel"/>
    <w:tmpl w:val="2D8E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D233E"/>
    <w:multiLevelType w:val="hybridMultilevel"/>
    <w:tmpl w:val="7E18B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A60B5"/>
    <w:multiLevelType w:val="hybridMultilevel"/>
    <w:tmpl w:val="B45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81DBE"/>
    <w:multiLevelType w:val="hybridMultilevel"/>
    <w:tmpl w:val="3FA4E594"/>
    <w:lvl w:ilvl="0" w:tplc="1A0A5CE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E01EA"/>
    <w:multiLevelType w:val="hybridMultilevel"/>
    <w:tmpl w:val="31AA90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A0494D"/>
    <w:multiLevelType w:val="hybridMultilevel"/>
    <w:tmpl w:val="9BD4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5BEB"/>
    <w:multiLevelType w:val="hybridMultilevel"/>
    <w:tmpl w:val="18E8D6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139500F"/>
    <w:multiLevelType w:val="hybridMultilevel"/>
    <w:tmpl w:val="CBB4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78350A"/>
    <w:multiLevelType w:val="hybridMultilevel"/>
    <w:tmpl w:val="1576CB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5C4835"/>
    <w:multiLevelType w:val="hybridMultilevel"/>
    <w:tmpl w:val="830A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46029"/>
    <w:multiLevelType w:val="hybridMultilevel"/>
    <w:tmpl w:val="B5C03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FD7C7D"/>
    <w:multiLevelType w:val="hybridMultilevel"/>
    <w:tmpl w:val="26F2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B15EF9"/>
    <w:multiLevelType w:val="hybridMultilevel"/>
    <w:tmpl w:val="822662A0"/>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613F6A7B"/>
    <w:multiLevelType w:val="hybridMultilevel"/>
    <w:tmpl w:val="73F89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CB178B"/>
    <w:multiLevelType w:val="hybridMultilevel"/>
    <w:tmpl w:val="DE4A3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D7395"/>
    <w:multiLevelType w:val="hybridMultilevel"/>
    <w:tmpl w:val="CCD81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BD10ED"/>
    <w:multiLevelType w:val="hybridMultilevel"/>
    <w:tmpl w:val="8F867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4B359E"/>
    <w:multiLevelType w:val="hybridMultilevel"/>
    <w:tmpl w:val="41D4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993CAB"/>
    <w:multiLevelType w:val="hybridMultilevel"/>
    <w:tmpl w:val="5014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9A3D1A"/>
    <w:multiLevelType w:val="hybridMultilevel"/>
    <w:tmpl w:val="7F1A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A260D"/>
    <w:multiLevelType w:val="hybridMultilevel"/>
    <w:tmpl w:val="F480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705BE"/>
    <w:multiLevelType w:val="hybridMultilevel"/>
    <w:tmpl w:val="F43E846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num w:numId="1">
    <w:abstractNumId w:val="31"/>
  </w:num>
  <w:num w:numId="2">
    <w:abstractNumId w:val="21"/>
  </w:num>
  <w:num w:numId="3">
    <w:abstractNumId w:val="10"/>
  </w:num>
  <w:num w:numId="4">
    <w:abstractNumId w:val="36"/>
  </w:num>
  <w:num w:numId="5">
    <w:abstractNumId w:val="35"/>
  </w:num>
  <w:num w:numId="6">
    <w:abstractNumId w:val="32"/>
  </w:num>
  <w:num w:numId="7">
    <w:abstractNumId w:val="0"/>
  </w:num>
  <w:num w:numId="8">
    <w:abstractNumId w:val="40"/>
  </w:num>
  <w:num w:numId="9">
    <w:abstractNumId w:val="2"/>
  </w:num>
  <w:num w:numId="10">
    <w:abstractNumId w:val="12"/>
  </w:num>
  <w:num w:numId="11">
    <w:abstractNumId w:val="42"/>
  </w:num>
  <w:num w:numId="12">
    <w:abstractNumId w:val="5"/>
  </w:num>
  <w:num w:numId="13">
    <w:abstractNumId w:val="28"/>
  </w:num>
  <w:num w:numId="14">
    <w:abstractNumId w:val="37"/>
  </w:num>
  <w:num w:numId="15">
    <w:abstractNumId w:val="13"/>
  </w:num>
  <w:num w:numId="16">
    <w:abstractNumId w:val="22"/>
  </w:num>
  <w:num w:numId="17">
    <w:abstractNumId w:val="41"/>
  </w:num>
  <w:num w:numId="18">
    <w:abstractNumId w:val="34"/>
  </w:num>
  <w:num w:numId="19">
    <w:abstractNumId w:val="18"/>
  </w:num>
  <w:num w:numId="20">
    <w:abstractNumId w:val="20"/>
  </w:num>
  <w:num w:numId="21">
    <w:abstractNumId w:val="17"/>
  </w:num>
  <w:num w:numId="22">
    <w:abstractNumId w:val="19"/>
  </w:num>
  <w:num w:numId="23">
    <w:abstractNumId w:val="14"/>
  </w:num>
  <w:num w:numId="24">
    <w:abstractNumId w:val="7"/>
  </w:num>
  <w:num w:numId="25">
    <w:abstractNumId w:val="30"/>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3"/>
  </w:num>
  <w:num w:numId="29">
    <w:abstractNumId w:val="26"/>
  </w:num>
  <w:num w:numId="30">
    <w:abstractNumId w:val="4"/>
  </w:num>
  <w:num w:numId="31">
    <w:abstractNumId w:val="6"/>
  </w:num>
  <w:num w:numId="32">
    <w:abstractNumId w:val="8"/>
  </w:num>
  <w:num w:numId="33">
    <w:abstractNumId w:val="1"/>
  </w:num>
  <w:num w:numId="34">
    <w:abstractNumId w:val="15"/>
  </w:num>
  <w:num w:numId="35">
    <w:abstractNumId w:val="24"/>
  </w:num>
  <w:num w:numId="36">
    <w:abstractNumId w:val="38"/>
  </w:num>
  <w:num w:numId="37">
    <w:abstractNumId w:val="39"/>
  </w:num>
  <w:num w:numId="38">
    <w:abstractNumId w:val="3"/>
  </w:num>
  <w:num w:numId="39">
    <w:abstractNumId w:val="9"/>
  </w:num>
  <w:num w:numId="40">
    <w:abstractNumId w:val="25"/>
  </w:num>
  <w:num w:numId="41">
    <w:abstractNumId w:val="11"/>
  </w:num>
  <w:num w:numId="42">
    <w:abstractNumId w:val="1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E1"/>
    <w:rsid w:val="00000E0A"/>
    <w:rsid w:val="00002438"/>
    <w:rsid w:val="00002C63"/>
    <w:rsid w:val="0000314E"/>
    <w:rsid w:val="00007F46"/>
    <w:rsid w:val="00012F57"/>
    <w:rsid w:val="000137BE"/>
    <w:rsid w:val="0001444C"/>
    <w:rsid w:val="00016BD3"/>
    <w:rsid w:val="00017DBC"/>
    <w:rsid w:val="00021286"/>
    <w:rsid w:val="00021E7D"/>
    <w:rsid w:val="000231C0"/>
    <w:rsid w:val="0002625D"/>
    <w:rsid w:val="00026B6F"/>
    <w:rsid w:val="00027015"/>
    <w:rsid w:val="00027050"/>
    <w:rsid w:val="0003045F"/>
    <w:rsid w:val="00030E0E"/>
    <w:rsid w:val="00031FA5"/>
    <w:rsid w:val="00031FC6"/>
    <w:rsid w:val="0003266E"/>
    <w:rsid w:val="0003300D"/>
    <w:rsid w:val="000331A7"/>
    <w:rsid w:val="00037383"/>
    <w:rsid w:val="00037EBE"/>
    <w:rsid w:val="00040FE1"/>
    <w:rsid w:val="00042F93"/>
    <w:rsid w:val="00043D27"/>
    <w:rsid w:val="0005012A"/>
    <w:rsid w:val="000508FB"/>
    <w:rsid w:val="00050DC5"/>
    <w:rsid w:val="00051811"/>
    <w:rsid w:val="00053B83"/>
    <w:rsid w:val="00056CC6"/>
    <w:rsid w:val="00056E93"/>
    <w:rsid w:val="000600D6"/>
    <w:rsid w:val="0006284A"/>
    <w:rsid w:val="00063E3C"/>
    <w:rsid w:val="000661D5"/>
    <w:rsid w:val="000675B9"/>
    <w:rsid w:val="00067669"/>
    <w:rsid w:val="0007059D"/>
    <w:rsid w:val="00071E33"/>
    <w:rsid w:val="00071FA3"/>
    <w:rsid w:val="000736B5"/>
    <w:rsid w:val="000746A3"/>
    <w:rsid w:val="000806EA"/>
    <w:rsid w:val="00081695"/>
    <w:rsid w:val="00082CB9"/>
    <w:rsid w:val="00082E4B"/>
    <w:rsid w:val="00085B3E"/>
    <w:rsid w:val="000902DC"/>
    <w:rsid w:val="0009057F"/>
    <w:rsid w:val="0009156B"/>
    <w:rsid w:val="000921E7"/>
    <w:rsid w:val="000930B4"/>
    <w:rsid w:val="000935B9"/>
    <w:rsid w:val="000A028D"/>
    <w:rsid w:val="000A1011"/>
    <w:rsid w:val="000A2B61"/>
    <w:rsid w:val="000A3372"/>
    <w:rsid w:val="000A5E80"/>
    <w:rsid w:val="000A6BDB"/>
    <w:rsid w:val="000B6889"/>
    <w:rsid w:val="000B7345"/>
    <w:rsid w:val="000C0A03"/>
    <w:rsid w:val="000C18DE"/>
    <w:rsid w:val="000C271A"/>
    <w:rsid w:val="000C2983"/>
    <w:rsid w:val="000C3687"/>
    <w:rsid w:val="000C4219"/>
    <w:rsid w:val="000C6B64"/>
    <w:rsid w:val="000D1775"/>
    <w:rsid w:val="000D1C9A"/>
    <w:rsid w:val="000D235C"/>
    <w:rsid w:val="000D43E5"/>
    <w:rsid w:val="000D5713"/>
    <w:rsid w:val="000F3663"/>
    <w:rsid w:val="000F72D0"/>
    <w:rsid w:val="000F787C"/>
    <w:rsid w:val="00102E2A"/>
    <w:rsid w:val="00105C41"/>
    <w:rsid w:val="00106C22"/>
    <w:rsid w:val="00107426"/>
    <w:rsid w:val="00110E1F"/>
    <w:rsid w:val="001112D2"/>
    <w:rsid w:val="001125D6"/>
    <w:rsid w:val="00115F96"/>
    <w:rsid w:val="0011632B"/>
    <w:rsid w:val="001165D0"/>
    <w:rsid w:val="00117ACE"/>
    <w:rsid w:val="0012048E"/>
    <w:rsid w:val="00121294"/>
    <w:rsid w:val="00121340"/>
    <w:rsid w:val="00121570"/>
    <w:rsid w:val="00122C63"/>
    <w:rsid w:val="0012335A"/>
    <w:rsid w:val="00124731"/>
    <w:rsid w:val="00132DEF"/>
    <w:rsid w:val="001335DC"/>
    <w:rsid w:val="00134157"/>
    <w:rsid w:val="001343FE"/>
    <w:rsid w:val="00134C0B"/>
    <w:rsid w:val="00135C95"/>
    <w:rsid w:val="00137B6E"/>
    <w:rsid w:val="00137FFA"/>
    <w:rsid w:val="0014006B"/>
    <w:rsid w:val="001405DA"/>
    <w:rsid w:val="0014119E"/>
    <w:rsid w:val="001437E9"/>
    <w:rsid w:val="00147B00"/>
    <w:rsid w:val="00150642"/>
    <w:rsid w:val="001539C7"/>
    <w:rsid w:val="0015403A"/>
    <w:rsid w:val="0015438A"/>
    <w:rsid w:val="00155A97"/>
    <w:rsid w:val="001565C9"/>
    <w:rsid w:val="001577B3"/>
    <w:rsid w:val="00162083"/>
    <w:rsid w:val="00162E8B"/>
    <w:rsid w:val="001656F0"/>
    <w:rsid w:val="001663EB"/>
    <w:rsid w:val="00167564"/>
    <w:rsid w:val="00167569"/>
    <w:rsid w:val="001701D6"/>
    <w:rsid w:val="001706BB"/>
    <w:rsid w:val="00172BCE"/>
    <w:rsid w:val="00173387"/>
    <w:rsid w:val="00173F5E"/>
    <w:rsid w:val="00174D84"/>
    <w:rsid w:val="0017580F"/>
    <w:rsid w:val="00176394"/>
    <w:rsid w:val="0018073C"/>
    <w:rsid w:val="00180E4B"/>
    <w:rsid w:val="00181CAE"/>
    <w:rsid w:val="0018696C"/>
    <w:rsid w:val="001877A7"/>
    <w:rsid w:val="0019309F"/>
    <w:rsid w:val="00194A85"/>
    <w:rsid w:val="00195A55"/>
    <w:rsid w:val="001968B9"/>
    <w:rsid w:val="00197C4F"/>
    <w:rsid w:val="001A2A4B"/>
    <w:rsid w:val="001A331D"/>
    <w:rsid w:val="001A381E"/>
    <w:rsid w:val="001A4496"/>
    <w:rsid w:val="001A55DD"/>
    <w:rsid w:val="001A56A5"/>
    <w:rsid w:val="001A7989"/>
    <w:rsid w:val="001A7EB0"/>
    <w:rsid w:val="001B0228"/>
    <w:rsid w:val="001B18C4"/>
    <w:rsid w:val="001B1A4E"/>
    <w:rsid w:val="001B2936"/>
    <w:rsid w:val="001B4A21"/>
    <w:rsid w:val="001B57D0"/>
    <w:rsid w:val="001C0C04"/>
    <w:rsid w:val="001C305A"/>
    <w:rsid w:val="001C74C7"/>
    <w:rsid w:val="001D0942"/>
    <w:rsid w:val="001D4996"/>
    <w:rsid w:val="001D660B"/>
    <w:rsid w:val="001E0460"/>
    <w:rsid w:val="001E0CC1"/>
    <w:rsid w:val="001E0D20"/>
    <w:rsid w:val="001E69F9"/>
    <w:rsid w:val="001F06C6"/>
    <w:rsid w:val="001F0F36"/>
    <w:rsid w:val="001F10E5"/>
    <w:rsid w:val="001F17D9"/>
    <w:rsid w:val="001F58C8"/>
    <w:rsid w:val="001F5A21"/>
    <w:rsid w:val="001F5FA0"/>
    <w:rsid w:val="001F6137"/>
    <w:rsid w:val="001F66F7"/>
    <w:rsid w:val="001F7AC3"/>
    <w:rsid w:val="00200E80"/>
    <w:rsid w:val="00202BD1"/>
    <w:rsid w:val="00202E40"/>
    <w:rsid w:val="002035BB"/>
    <w:rsid w:val="002058B4"/>
    <w:rsid w:val="00206130"/>
    <w:rsid w:val="0020770C"/>
    <w:rsid w:val="00213D19"/>
    <w:rsid w:val="00216AAE"/>
    <w:rsid w:val="00216F82"/>
    <w:rsid w:val="002234BB"/>
    <w:rsid w:val="00225A1F"/>
    <w:rsid w:val="00225A50"/>
    <w:rsid w:val="00226349"/>
    <w:rsid w:val="00226D1B"/>
    <w:rsid w:val="00227075"/>
    <w:rsid w:val="002309DF"/>
    <w:rsid w:val="00230F20"/>
    <w:rsid w:val="00231066"/>
    <w:rsid w:val="00232025"/>
    <w:rsid w:val="0023286C"/>
    <w:rsid w:val="00232D6E"/>
    <w:rsid w:val="00236AC5"/>
    <w:rsid w:val="00237FA7"/>
    <w:rsid w:val="0024057F"/>
    <w:rsid w:val="00243336"/>
    <w:rsid w:val="00243916"/>
    <w:rsid w:val="00243D3F"/>
    <w:rsid w:val="002445E1"/>
    <w:rsid w:val="00244AE9"/>
    <w:rsid w:val="0024564C"/>
    <w:rsid w:val="00245908"/>
    <w:rsid w:val="00246BA9"/>
    <w:rsid w:val="00252B78"/>
    <w:rsid w:val="0025378E"/>
    <w:rsid w:val="002548DA"/>
    <w:rsid w:val="002562A1"/>
    <w:rsid w:val="00260AAB"/>
    <w:rsid w:val="0026124B"/>
    <w:rsid w:val="00261F05"/>
    <w:rsid w:val="0026361B"/>
    <w:rsid w:val="00264669"/>
    <w:rsid w:val="00265039"/>
    <w:rsid w:val="00265BDC"/>
    <w:rsid w:val="00267EE8"/>
    <w:rsid w:val="00270555"/>
    <w:rsid w:val="00271EC3"/>
    <w:rsid w:val="00271F40"/>
    <w:rsid w:val="00272633"/>
    <w:rsid w:val="002733BB"/>
    <w:rsid w:val="00274DFB"/>
    <w:rsid w:val="00276779"/>
    <w:rsid w:val="002773A3"/>
    <w:rsid w:val="00281B64"/>
    <w:rsid w:val="0028237B"/>
    <w:rsid w:val="002827CA"/>
    <w:rsid w:val="00284AC4"/>
    <w:rsid w:val="002855F3"/>
    <w:rsid w:val="00287626"/>
    <w:rsid w:val="00291262"/>
    <w:rsid w:val="0029149A"/>
    <w:rsid w:val="00295901"/>
    <w:rsid w:val="00295CD3"/>
    <w:rsid w:val="00296212"/>
    <w:rsid w:val="0029781B"/>
    <w:rsid w:val="002A08AF"/>
    <w:rsid w:val="002A18DE"/>
    <w:rsid w:val="002A1E97"/>
    <w:rsid w:val="002A362D"/>
    <w:rsid w:val="002A6620"/>
    <w:rsid w:val="002B36C7"/>
    <w:rsid w:val="002B3ED8"/>
    <w:rsid w:val="002B747A"/>
    <w:rsid w:val="002B776A"/>
    <w:rsid w:val="002C36AC"/>
    <w:rsid w:val="002C533C"/>
    <w:rsid w:val="002C7A23"/>
    <w:rsid w:val="002D114D"/>
    <w:rsid w:val="002D3AAA"/>
    <w:rsid w:val="002D3AE5"/>
    <w:rsid w:val="002D4D8A"/>
    <w:rsid w:val="002D627D"/>
    <w:rsid w:val="002D63F2"/>
    <w:rsid w:val="002D64C2"/>
    <w:rsid w:val="002D658B"/>
    <w:rsid w:val="002D79E1"/>
    <w:rsid w:val="002E1737"/>
    <w:rsid w:val="002E1F49"/>
    <w:rsid w:val="002E251C"/>
    <w:rsid w:val="002E2D77"/>
    <w:rsid w:val="002E45B7"/>
    <w:rsid w:val="002E4664"/>
    <w:rsid w:val="002E561F"/>
    <w:rsid w:val="002E59CD"/>
    <w:rsid w:val="002F1798"/>
    <w:rsid w:val="002F18AE"/>
    <w:rsid w:val="002F4A2F"/>
    <w:rsid w:val="002F4D7F"/>
    <w:rsid w:val="002F5679"/>
    <w:rsid w:val="002F5BBF"/>
    <w:rsid w:val="002F7047"/>
    <w:rsid w:val="003008A5"/>
    <w:rsid w:val="003011AD"/>
    <w:rsid w:val="00301994"/>
    <w:rsid w:val="003048F5"/>
    <w:rsid w:val="00305870"/>
    <w:rsid w:val="00305DF3"/>
    <w:rsid w:val="00306601"/>
    <w:rsid w:val="00307379"/>
    <w:rsid w:val="00307B8A"/>
    <w:rsid w:val="00307C5E"/>
    <w:rsid w:val="003105D1"/>
    <w:rsid w:val="00311071"/>
    <w:rsid w:val="00314D97"/>
    <w:rsid w:val="003156F1"/>
    <w:rsid w:val="003210B7"/>
    <w:rsid w:val="00321C8B"/>
    <w:rsid w:val="003253BD"/>
    <w:rsid w:val="003259A4"/>
    <w:rsid w:val="003271CA"/>
    <w:rsid w:val="00327FDF"/>
    <w:rsid w:val="00336DDA"/>
    <w:rsid w:val="003375E4"/>
    <w:rsid w:val="00337D67"/>
    <w:rsid w:val="00340A1A"/>
    <w:rsid w:val="00340AA1"/>
    <w:rsid w:val="00342302"/>
    <w:rsid w:val="00343225"/>
    <w:rsid w:val="00343D1C"/>
    <w:rsid w:val="00343D47"/>
    <w:rsid w:val="00344C12"/>
    <w:rsid w:val="00345045"/>
    <w:rsid w:val="00346797"/>
    <w:rsid w:val="003502E7"/>
    <w:rsid w:val="003510D7"/>
    <w:rsid w:val="00353389"/>
    <w:rsid w:val="00355BF6"/>
    <w:rsid w:val="0035687F"/>
    <w:rsid w:val="003576B6"/>
    <w:rsid w:val="00357DEA"/>
    <w:rsid w:val="00360864"/>
    <w:rsid w:val="0036094B"/>
    <w:rsid w:val="0036131E"/>
    <w:rsid w:val="00363CE3"/>
    <w:rsid w:val="0036463B"/>
    <w:rsid w:val="003649AE"/>
    <w:rsid w:val="00364A50"/>
    <w:rsid w:val="00365D42"/>
    <w:rsid w:val="0036674C"/>
    <w:rsid w:val="00366ACC"/>
    <w:rsid w:val="00370255"/>
    <w:rsid w:val="00376EA9"/>
    <w:rsid w:val="00377EA0"/>
    <w:rsid w:val="00382F22"/>
    <w:rsid w:val="00383B6B"/>
    <w:rsid w:val="00384E0E"/>
    <w:rsid w:val="003857A0"/>
    <w:rsid w:val="00385CDC"/>
    <w:rsid w:val="00385E34"/>
    <w:rsid w:val="0038768C"/>
    <w:rsid w:val="00390867"/>
    <w:rsid w:val="003933EC"/>
    <w:rsid w:val="00393440"/>
    <w:rsid w:val="00396546"/>
    <w:rsid w:val="00397AD7"/>
    <w:rsid w:val="003A0F24"/>
    <w:rsid w:val="003A357E"/>
    <w:rsid w:val="003A4DE7"/>
    <w:rsid w:val="003A55A9"/>
    <w:rsid w:val="003B1BAF"/>
    <w:rsid w:val="003B2B02"/>
    <w:rsid w:val="003B2DE6"/>
    <w:rsid w:val="003B660B"/>
    <w:rsid w:val="003B6969"/>
    <w:rsid w:val="003B72A6"/>
    <w:rsid w:val="003C015E"/>
    <w:rsid w:val="003C01E6"/>
    <w:rsid w:val="003C07A0"/>
    <w:rsid w:val="003C43B0"/>
    <w:rsid w:val="003C449D"/>
    <w:rsid w:val="003C4B93"/>
    <w:rsid w:val="003C5333"/>
    <w:rsid w:val="003C55CE"/>
    <w:rsid w:val="003C58AE"/>
    <w:rsid w:val="003C6FF5"/>
    <w:rsid w:val="003D0929"/>
    <w:rsid w:val="003D28E6"/>
    <w:rsid w:val="003D3423"/>
    <w:rsid w:val="003D466E"/>
    <w:rsid w:val="003D4953"/>
    <w:rsid w:val="003D4AB3"/>
    <w:rsid w:val="003D7C38"/>
    <w:rsid w:val="003E00F4"/>
    <w:rsid w:val="003E2C8B"/>
    <w:rsid w:val="003E3749"/>
    <w:rsid w:val="003E68BE"/>
    <w:rsid w:val="003E7479"/>
    <w:rsid w:val="003E7862"/>
    <w:rsid w:val="003F0179"/>
    <w:rsid w:val="003F0EF4"/>
    <w:rsid w:val="003F2608"/>
    <w:rsid w:val="003F2EDA"/>
    <w:rsid w:val="003F3ADE"/>
    <w:rsid w:val="003F4941"/>
    <w:rsid w:val="003F65AC"/>
    <w:rsid w:val="003F7D6C"/>
    <w:rsid w:val="00400405"/>
    <w:rsid w:val="00401E1E"/>
    <w:rsid w:val="00405930"/>
    <w:rsid w:val="00407ABF"/>
    <w:rsid w:val="00410054"/>
    <w:rsid w:val="00410CF1"/>
    <w:rsid w:val="00410DE8"/>
    <w:rsid w:val="00411D5A"/>
    <w:rsid w:val="00412240"/>
    <w:rsid w:val="00413F26"/>
    <w:rsid w:val="004149A2"/>
    <w:rsid w:val="00416280"/>
    <w:rsid w:val="00416790"/>
    <w:rsid w:val="0042429E"/>
    <w:rsid w:val="0042432A"/>
    <w:rsid w:val="00425E50"/>
    <w:rsid w:val="00427077"/>
    <w:rsid w:val="00430142"/>
    <w:rsid w:val="004306BD"/>
    <w:rsid w:val="004312B3"/>
    <w:rsid w:val="004314F3"/>
    <w:rsid w:val="00431637"/>
    <w:rsid w:val="00431F52"/>
    <w:rsid w:val="004320A5"/>
    <w:rsid w:val="0043210D"/>
    <w:rsid w:val="00432A43"/>
    <w:rsid w:val="00434646"/>
    <w:rsid w:val="00434902"/>
    <w:rsid w:val="00435982"/>
    <w:rsid w:val="004363ED"/>
    <w:rsid w:val="00436523"/>
    <w:rsid w:val="00441A7D"/>
    <w:rsid w:val="00441F6F"/>
    <w:rsid w:val="004463EB"/>
    <w:rsid w:val="00447405"/>
    <w:rsid w:val="0044787C"/>
    <w:rsid w:val="00447AFA"/>
    <w:rsid w:val="00452533"/>
    <w:rsid w:val="00452AA7"/>
    <w:rsid w:val="00453740"/>
    <w:rsid w:val="00456270"/>
    <w:rsid w:val="00456DC2"/>
    <w:rsid w:val="004578CF"/>
    <w:rsid w:val="00460431"/>
    <w:rsid w:val="00460CF9"/>
    <w:rsid w:val="00461277"/>
    <w:rsid w:val="00462785"/>
    <w:rsid w:val="00462E82"/>
    <w:rsid w:val="004636F3"/>
    <w:rsid w:val="00465EA0"/>
    <w:rsid w:val="00470380"/>
    <w:rsid w:val="004710BE"/>
    <w:rsid w:val="0047140A"/>
    <w:rsid w:val="004718B2"/>
    <w:rsid w:val="004727C0"/>
    <w:rsid w:val="004732F9"/>
    <w:rsid w:val="00473F19"/>
    <w:rsid w:val="00474D99"/>
    <w:rsid w:val="004759FC"/>
    <w:rsid w:val="00476CBA"/>
    <w:rsid w:val="00485A12"/>
    <w:rsid w:val="00487118"/>
    <w:rsid w:val="004871D0"/>
    <w:rsid w:val="00487BFF"/>
    <w:rsid w:val="00490992"/>
    <w:rsid w:val="004928BF"/>
    <w:rsid w:val="004935F2"/>
    <w:rsid w:val="00493B02"/>
    <w:rsid w:val="0049563C"/>
    <w:rsid w:val="004959AE"/>
    <w:rsid w:val="0049649A"/>
    <w:rsid w:val="0049779E"/>
    <w:rsid w:val="00497ECB"/>
    <w:rsid w:val="004A02E1"/>
    <w:rsid w:val="004A15B8"/>
    <w:rsid w:val="004A30F6"/>
    <w:rsid w:val="004A69F1"/>
    <w:rsid w:val="004A6B05"/>
    <w:rsid w:val="004A71DF"/>
    <w:rsid w:val="004B1443"/>
    <w:rsid w:val="004B2E33"/>
    <w:rsid w:val="004B38F9"/>
    <w:rsid w:val="004B5C2D"/>
    <w:rsid w:val="004B5D60"/>
    <w:rsid w:val="004B71C3"/>
    <w:rsid w:val="004C3A75"/>
    <w:rsid w:val="004C7789"/>
    <w:rsid w:val="004D1547"/>
    <w:rsid w:val="004D173D"/>
    <w:rsid w:val="004D3729"/>
    <w:rsid w:val="004D3A8F"/>
    <w:rsid w:val="004D5CB5"/>
    <w:rsid w:val="004D6ADF"/>
    <w:rsid w:val="004D7097"/>
    <w:rsid w:val="004D717A"/>
    <w:rsid w:val="004E0E86"/>
    <w:rsid w:val="004E1087"/>
    <w:rsid w:val="004E26A2"/>
    <w:rsid w:val="004E50E5"/>
    <w:rsid w:val="004E6653"/>
    <w:rsid w:val="004E6A85"/>
    <w:rsid w:val="004E76EF"/>
    <w:rsid w:val="004E7A17"/>
    <w:rsid w:val="004E7B7E"/>
    <w:rsid w:val="004F0642"/>
    <w:rsid w:val="004F116B"/>
    <w:rsid w:val="004F3DC3"/>
    <w:rsid w:val="004F4E8F"/>
    <w:rsid w:val="004F4EB6"/>
    <w:rsid w:val="00504E4A"/>
    <w:rsid w:val="00506A5C"/>
    <w:rsid w:val="00506F0E"/>
    <w:rsid w:val="00507352"/>
    <w:rsid w:val="005076A2"/>
    <w:rsid w:val="00510386"/>
    <w:rsid w:val="005118E1"/>
    <w:rsid w:val="00512012"/>
    <w:rsid w:val="005129EA"/>
    <w:rsid w:val="00512D89"/>
    <w:rsid w:val="00514032"/>
    <w:rsid w:val="00514640"/>
    <w:rsid w:val="00515735"/>
    <w:rsid w:val="00517365"/>
    <w:rsid w:val="00521853"/>
    <w:rsid w:val="00521D45"/>
    <w:rsid w:val="00522F97"/>
    <w:rsid w:val="0052326B"/>
    <w:rsid w:val="00523B45"/>
    <w:rsid w:val="005244F9"/>
    <w:rsid w:val="00524B9E"/>
    <w:rsid w:val="00524FB6"/>
    <w:rsid w:val="00525AF9"/>
    <w:rsid w:val="00525F9B"/>
    <w:rsid w:val="005276BF"/>
    <w:rsid w:val="005303E8"/>
    <w:rsid w:val="00533BF6"/>
    <w:rsid w:val="00533C0B"/>
    <w:rsid w:val="00535316"/>
    <w:rsid w:val="0053545A"/>
    <w:rsid w:val="00535729"/>
    <w:rsid w:val="00535980"/>
    <w:rsid w:val="00535F6C"/>
    <w:rsid w:val="00537B65"/>
    <w:rsid w:val="00540537"/>
    <w:rsid w:val="00541BF0"/>
    <w:rsid w:val="0054207F"/>
    <w:rsid w:val="00543D40"/>
    <w:rsid w:val="00547A8B"/>
    <w:rsid w:val="00551B3F"/>
    <w:rsid w:val="00551D69"/>
    <w:rsid w:val="00552FC0"/>
    <w:rsid w:val="00553085"/>
    <w:rsid w:val="00553B7F"/>
    <w:rsid w:val="0055571E"/>
    <w:rsid w:val="005575BC"/>
    <w:rsid w:val="005601C6"/>
    <w:rsid w:val="00561227"/>
    <w:rsid w:val="00563B11"/>
    <w:rsid w:val="00564BD6"/>
    <w:rsid w:val="00567891"/>
    <w:rsid w:val="00567C92"/>
    <w:rsid w:val="00570783"/>
    <w:rsid w:val="00570DAC"/>
    <w:rsid w:val="0057126B"/>
    <w:rsid w:val="00571EA4"/>
    <w:rsid w:val="00572169"/>
    <w:rsid w:val="005725F6"/>
    <w:rsid w:val="0058059E"/>
    <w:rsid w:val="005818F3"/>
    <w:rsid w:val="00581ECF"/>
    <w:rsid w:val="0058252E"/>
    <w:rsid w:val="00585C86"/>
    <w:rsid w:val="0058607C"/>
    <w:rsid w:val="00586780"/>
    <w:rsid w:val="0059227D"/>
    <w:rsid w:val="00592C07"/>
    <w:rsid w:val="00593E95"/>
    <w:rsid w:val="00593FE7"/>
    <w:rsid w:val="005956FA"/>
    <w:rsid w:val="005A1544"/>
    <w:rsid w:val="005A2620"/>
    <w:rsid w:val="005A4E9F"/>
    <w:rsid w:val="005A653D"/>
    <w:rsid w:val="005A7E1E"/>
    <w:rsid w:val="005B0CC1"/>
    <w:rsid w:val="005B3A00"/>
    <w:rsid w:val="005B5271"/>
    <w:rsid w:val="005B5D42"/>
    <w:rsid w:val="005B66A8"/>
    <w:rsid w:val="005B7030"/>
    <w:rsid w:val="005B7352"/>
    <w:rsid w:val="005B7F68"/>
    <w:rsid w:val="005C1939"/>
    <w:rsid w:val="005C4236"/>
    <w:rsid w:val="005C5798"/>
    <w:rsid w:val="005C5DB3"/>
    <w:rsid w:val="005C613B"/>
    <w:rsid w:val="005C65AC"/>
    <w:rsid w:val="005C6AB3"/>
    <w:rsid w:val="005C70AA"/>
    <w:rsid w:val="005C75AB"/>
    <w:rsid w:val="005C786A"/>
    <w:rsid w:val="005D1117"/>
    <w:rsid w:val="005D275D"/>
    <w:rsid w:val="005D2E70"/>
    <w:rsid w:val="005D2EE0"/>
    <w:rsid w:val="005D5BD4"/>
    <w:rsid w:val="005D7AA3"/>
    <w:rsid w:val="005D7FB8"/>
    <w:rsid w:val="005E3800"/>
    <w:rsid w:val="005E429C"/>
    <w:rsid w:val="005E5FBD"/>
    <w:rsid w:val="005F0C8E"/>
    <w:rsid w:val="005F373E"/>
    <w:rsid w:val="005F6896"/>
    <w:rsid w:val="005F74C8"/>
    <w:rsid w:val="005F7FDF"/>
    <w:rsid w:val="00600A1A"/>
    <w:rsid w:val="0060161D"/>
    <w:rsid w:val="0060173B"/>
    <w:rsid w:val="006017F6"/>
    <w:rsid w:val="00601F13"/>
    <w:rsid w:val="00605B3C"/>
    <w:rsid w:val="006076FF"/>
    <w:rsid w:val="00607BFB"/>
    <w:rsid w:val="0061077A"/>
    <w:rsid w:val="00613134"/>
    <w:rsid w:val="006135F2"/>
    <w:rsid w:val="006137E9"/>
    <w:rsid w:val="00613918"/>
    <w:rsid w:val="0061588A"/>
    <w:rsid w:val="006167DF"/>
    <w:rsid w:val="00616F49"/>
    <w:rsid w:val="006209C2"/>
    <w:rsid w:val="00620CF6"/>
    <w:rsid w:val="0062551C"/>
    <w:rsid w:val="006256B5"/>
    <w:rsid w:val="00625933"/>
    <w:rsid w:val="00627673"/>
    <w:rsid w:val="0063127C"/>
    <w:rsid w:val="00631A2B"/>
    <w:rsid w:val="00632863"/>
    <w:rsid w:val="00632FD1"/>
    <w:rsid w:val="00636F61"/>
    <w:rsid w:val="00642D15"/>
    <w:rsid w:val="00644E79"/>
    <w:rsid w:val="006455CD"/>
    <w:rsid w:val="00646724"/>
    <w:rsid w:val="00647DC3"/>
    <w:rsid w:val="00651933"/>
    <w:rsid w:val="00652ADD"/>
    <w:rsid w:val="00652BC9"/>
    <w:rsid w:val="00653410"/>
    <w:rsid w:val="00653F79"/>
    <w:rsid w:val="006552B8"/>
    <w:rsid w:val="006560A5"/>
    <w:rsid w:val="006571D8"/>
    <w:rsid w:val="0066196F"/>
    <w:rsid w:val="0066248C"/>
    <w:rsid w:val="006679A9"/>
    <w:rsid w:val="00670129"/>
    <w:rsid w:val="00670890"/>
    <w:rsid w:val="006733E3"/>
    <w:rsid w:val="006736A3"/>
    <w:rsid w:val="00674D80"/>
    <w:rsid w:val="00675193"/>
    <w:rsid w:val="006760D2"/>
    <w:rsid w:val="00676C3A"/>
    <w:rsid w:val="00681CB7"/>
    <w:rsid w:val="00682F9B"/>
    <w:rsid w:val="00683EA6"/>
    <w:rsid w:val="00685448"/>
    <w:rsid w:val="0068786E"/>
    <w:rsid w:val="006901F3"/>
    <w:rsid w:val="006902B3"/>
    <w:rsid w:val="006910DC"/>
    <w:rsid w:val="006916D5"/>
    <w:rsid w:val="00691BCB"/>
    <w:rsid w:val="00692569"/>
    <w:rsid w:val="00692C86"/>
    <w:rsid w:val="006935E8"/>
    <w:rsid w:val="0069406A"/>
    <w:rsid w:val="006965AD"/>
    <w:rsid w:val="00696661"/>
    <w:rsid w:val="006A5974"/>
    <w:rsid w:val="006B0D80"/>
    <w:rsid w:val="006B1662"/>
    <w:rsid w:val="006B2A82"/>
    <w:rsid w:val="006B36DF"/>
    <w:rsid w:val="006B4324"/>
    <w:rsid w:val="006B43B4"/>
    <w:rsid w:val="006B493E"/>
    <w:rsid w:val="006B525C"/>
    <w:rsid w:val="006C03E9"/>
    <w:rsid w:val="006C1592"/>
    <w:rsid w:val="006C6E05"/>
    <w:rsid w:val="006D045C"/>
    <w:rsid w:val="006D183C"/>
    <w:rsid w:val="006D4B0C"/>
    <w:rsid w:val="006D5109"/>
    <w:rsid w:val="006D5CAB"/>
    <w:rsid w:val="006D633D"/>
    <w:rsid w:val="006D70BB"/>
    <w:rsid w:val="006D71D2"/>
    <w:rsid w:val="006D7C2C"/>
    <w:rsid w:val="006E1733"/>
    <w:rsid w:val="006E1896"/>
    <w:rsid w:val="006E21CF"/>
    <w:rsid w:val="006E2952"/>
    <w:rsid w:val="006E3900"/>
    <w:rsid w:val="006E5AD8"/>
    <w:rsid w:val="006F0378"/>
    <w:rsid w:val="006F07DE"/>
    <w:rsid w:val="006F2128"/>
    <w:rsid w:val="006F62BA"/>
    <w:rsid w:val="006F6781"/>
    <w:rsid w:val="006F6ADE"/>
    <w:rsid w:val="00701DEC"/>
    <w:rsid w:val="00703167"/>
    <w:rsid w:val="00704DE9"/>
    <w:rsid w:val="00706312"/>
    <w:rsid w:val="007065F9"/>
    <w:rsid w:val="0071138F"/>
    <w:rsid w:val="0071155F"/>
    <w:rsid w:val="00711A8C"/>
    <w:rsid w:val="0071428C"/>
    <w:rsid w:val="0071598A"/>
    <w:rsid w:val="007162FD"/>
    <w:rsid w:val="0072023E"/>
    <w:rsid w:val="007202F5"/>
    <w:rsid w:val="00720AD7"/>
    <w:rsid w:val="00721AB1"/>
    <w:rsid w:val="0072200C"/>
    <w:rsid w:val="0072455E"/>
    <w:rsid w:val="00724B19"/>
    <w:rsid w:val="007251D9"/>
    <w:rsid w:val="0072611F"/>
    <w:rsid w:val="00726DAF"/>
    <w:rsid w:val="00726F9C"/>
    <w:rsid w:val="00727792"/>
    <w:rsid w:val="00730181"/>
    <w:rsid w:val="0073142C"/>
    <w:rsid w:val="00732EBA"/>
    <w:rsid w:val="0073448E"/>
    <w:rsid w:val="007359B0"/>
    <w:rsid w:val="00737875"/>
    <w:rsid w:val="0074176C"/>
    <w:rsid w:val="007432E5"/>
    <w:rsid w:val="007445FF"/>
    <w:rsid w:val="00746BA8"/>
    <w:rsid w:val="00747325"/>
    <w:rsid w:val="007502F1"/>
    <w:rsid w:val="00751A77"/>
    <w:rsid w:val="00752B40"/>
    <w:rsid w:val="00753C81"/>
    <w:rsid w:val="00755754"/>
    <w:rsid w:val="00756463"/>
    <w:rsid w:val="00757F2C"/>
    <w:rsid w:val="007625DD"/>
    <w:rsid w:val="00762E89"/>
    <w:rsid w:val="00763006"/>
    <w:rsid w:val="007630BD"/>
    <w:rsid w:val="0076419B"/>
    <w:rsid w:val="00765554"/>
    <w:rsid w:val="0076635B"/>
    <w:rsid w:val="00770883"/>
    <w:rsid w:val="0077128E"/>
    <w:rsid w:val="00775E2B"/>
    <w:rsid w:val="00777533"/>
    <w:rsid w:val="00780F75"/>
    <w:rsid w:val="007821C7"/>
    <w:rsid w:val="00786179"/>
    <w:rsid w:val="007871BE"/>
    <w:rsid w:val="00787629"/>
    <w:rsid w:val="007903D0"/>
    <w:rsid w:val="0079156C"/>
    <w:rsid w:val="007958B0"/>
    <w:rsid w:val="00796528"/>
    <w:rsid w:val="007A08EC"/>
    <w:rsid w:val="007A0A7E"/>
    <w:rsid w:val="007A2C34"/>
    <w:rsid w:val="007A2E66"/>
    <w:rsid w:val="007A428F"/>
    <w:rsid w:val="007A46B2"/>
    <w:rsid w:val="007A5621"/>
    <w:rsid w:val="007B1A9C"/>
    <w:rsid w:val="007B287A"/>
    <w:rsid w:val="007B309D"/>
    <w:rsid w:val="007B548D"/>
    <w:rsid w:val="007B5D2E"/>
    <w:rsid w:val="007C0A31"/>
    <w:rsid w:val="007C1EF1"/>
    <w:rsid w:val="007C2999"/>
    <w:rsid w:val="007C34BC"/>
    <w:rsid w:val="007C3DF3"/>
    <w:rsid w:val="007C7BD7"/>
    <w:rsid w:val="007D04C4"/>
    <w:rsid w:val="007D21F4"/>
    <w:rsid w:val="007D3E13"/>
    <w:rsid w:val="007D3E15"/>
    <w:rsid w:val="007D51BA"/>
    <w:rsid w:val="007D6031"/>
    <w:rsid w:val="007E06CE"/>
    <w:rsid w:val="007E0A0A"/>
    <w:rsid w:val="007E0D57"/>
    <w:rsid w:val="007E2DA6"/>
    <w:rsid w:val="007E5359"/>
    <w:rsid w:val="007E5F77"/>
    <w:rsid w:val="007E7934"/>
    <w:rsid w:val="007E7962"/>
    <w:rsid w:val="007F25BB"/>
    <w:rsid w:val="007F3671"/>
    <w:rsid w:val="00800595"/>
    <w:rsid w:val="00802126"/>
    <w:rsid w:val="008033BA"/>
    <w:rsid w:val="008048D4"/>
    <w:rsid w:val="00804C63"/>
    <w:rsid w:val="00805D1A"/>
    <w:rsid w:val="00806656"/>
    <w:rsid w:val="0080685B"/>
    <w:rsid w:val="00810ABE"/>
    <w:rsid w:val="008114A2"/>
    <w:rsid w:val="00813E16"/>
    <w:rsid w:val="008146B4"/>
    <w:rsid w:val="008169D3"/>
    <w:rsid w:val="0081764F"/>
    <w:rsid w:val="00820936"/>
    <w:rsid w:val="00820E63"/>
    <w:rsid w:val="0082120C"/>
    <w:rsid w:val="00821216"/>
    <w:rsid w:val="00821D1C"/>
    <w:rsid w:val="00824378"/>
    <w:rsid w:val="00825821"/>
    <w:rsid w:val="008259AD"/>
    <w:rsid w:val="00826353"/>
    <w:rsid w:val="0082709A"/>
    <w:rsid w:val="00831797"/>
    <w:rsid w:val="008342CC"/>
    <w:rsid w:val="00835BAD"/>
    <w:rsid w:val="00837AA0"/>
    <w:rsid w:val="00840AB3"/>
    <w:rsid w:val="00840DC9"/>
    <w:rsid w:val="00841D37"/>
    <w:rsid w:val="00841ED9"/>
    <w:rsid w:val="00843D22"/>
    <w:rsid w:val="00844A5E"/>
    <w:rsid w:val="00845E4C"/>
    <w:rsid w:val="00850077"/>
    <w:rsid w:val="00850418"/>
    <w:rsid w:val="00851E37"/>
    <w:rsid w:val="00852294"/>
    <w:rsid w:val="00853716"/>
    <w:rsid w:val="008541D6"/>
    <w:rsid w:val="00854E94"/>
    <w:rsid w:val="00854FF5"/>
    <w:rsid w:val="008562AD"/>
    <w:rsid w:val="008575FD"/>
    <w:rsid w:val="00863325"/>
    <w:rsid w:val="00864CFE"/>
    <w:rsid w:val="00865D69"/>
    <w:rsid w:val="00866CB7"/>
    <w:rsid w:val="00867965"/>
    <w:rsid w:val="008728B2"/>
    <w:rsid w:val="008734D6"/>
    <w:rsid w:val="0087574A"/>
    <w:rsid w:val="00875753"/>
    <w:rsid w:val="0087576D"/>
    <w:rsid w:val="0087756A"/>
    <w:rsid w:val="00881F97"/>
    <w:rsid w:val="0088257D"/>
    <w:rsid w:val="008869D4"/>
    <w:rsid w:val="00892A8C"/>
    <w:rsid w:val="00892D67"/>
    <w:rsid w:val="00892EAF"/>
    <w:rsid w:val="00893429"/>
    <w:rsid w:val="00893B33"/>
    <w:rsid w:val="00895EB5"/>
    <w:rsid w:val="0089621A"/>
    <w:rsid w:val="00897C7D"/>
    <w:rsid w:val="008A1905"/>
    <w:rsid w:val="008A1EB1"/>
    <w:rsid w:val="008A3394"/>
    <w:rsid w:val="008A375C"/>
    <w:rsid w:val="008A42C6"/>
    <w:rsid w:val="008A43E8"/>
    <w:rsid w:val="008A4A3A"/>
    <w:rsid w:val="008A569C"/>
    <w:rsid w:val="008A7013"/>
    <w:rsid w:val="008A74C5"/>
    <w:rsid w:val="008B0EC7"/>
    <w:rsid w:val="008B53A8"/>
    <w:rsid w:val="008B5489"/>
    <w:rsid w:val="008B723E"/>
    <w:rsid w:val="008C02F8"/>
    <w:rsid w:val="008C0D11"/>
    <w:rsid w:val="008C1C24"/>
    <w:rsid w:val="008C27AB"/>
    <w:rsid w:val="008C2806"/>
    <w:rsid w:val="008C6666"/>
    <w:rsid w:val="008C708C"/>
    <w:rsid w:val="008C70CF"/>
    <w:rsid w:val="008D049E"/>
    <w:rsid w:val="008D0FCA"/>
    <w:rsid w:val="008D11CB"/>
    <w:rsid w:val="008D3625"/>
    <w:rsid w:val="008D3A6F"/>
    <w:rsid w:val="008D51C0"/>
    <w:rsid w:val="008D7015"/>
    <w:rsid w:val="008D73CB"/>
    <w:rsid w:val="008E01F7"/>
    <w:rsid w:val="008E4D42"/>
    <w:rsid w:val="008E5A6D"/>
    <w:rsid w:val="008E5C38"/>
    <w:rsid w:val="008E6917"/>
    <w:rsid w:val="008E74F6"/>
    <w:rsid w:val="008F0219"/>
    <w:rsid w:val="008F1957"/>
    <w:rsid w:val="008F23FE"/>
    <w:rsid w:val="008F3F96"/>
    <w:rsid w:val="0090023A"/>
    <w:rsid w:val="00901109"/>
    <w:rsid w:val="00901D8D"/>
    <w:rsid w:val="0090278C"/>
    <w:rsid w:val="009028B4"/>
    <w:rsid w:val="00902FF7"/>
    <w:rsid w:val="00904CB7"/>
    <w:rsid w:val="00905113"/>
    <w:rsid w:val="009052C6"/>
    <w:rsid w:val="00910FF4"/>
    <w:rsid w:val="009145E5"/>
    <w:rsid w:val="00914CFB"/>
    <w:rsid w:val="00915B25"/>
    <w:rsid w:val="00916DD6"/>
    <w:rsid w:val="00920800"/>
    <w:rsid w:val="009225CD"/>
    <w:rsid w:val="00924955"/>
    <w:rsid w:val="00927EFB"/>
    <w:rsid w:val="009302C6"/>
    <w:rsid w:val="00930AAE"/>
    <w:rsid w:val="0093180E"/>
    <w:rsid w:val="00933541"/>
    <w:rsid w:val="00933907"/>
    <w:rsid w:val="00934640"/>
    <w:rsid w:val="00934FEF"/>
    <w:rsid w:val="00936CAD"/>
    <w:rsid w:val="00937AB9"/>
    <w:rsid w:val="009405F1"/>
    <w:rsid w:val="009407E1"/>
    <w:rsid w:val="00940FDE"/>
    <w:rsid w:val="00942668"/>
    <w:rsid w:val="00943D4D"/>
    <w:rsid w:val="0094507C"/>
    <w:rsid w:val="00945287"/>
    <w:rsid w:val="00945AC1"/>
    <w:rsid w:val="00950775"/>
    <w:rsid w:val="00952C9B"/>
    <w:rsid w:val="0095320B"/>
    <w:rsid w:val="009544C4"/>
    <w:rsid w:val="00954D54"/>
    <w:rsid w:val="00955933"/>
    <w:rsid w:val="0095605C"/>
    <w:rsid w:val="00961C17"/>
    <w:rsid w:val="009625D2"/>
    <w:rsid w:val="00963332"/>
    <w:rsid w:val="009674C2"/>
    <w:rsid w:val="00970930"/>
    <w:rsid w:val="009720A2"/>
    <w:rsid w:val="00972234"/>
    <w:rsid w:val="009747D9"/>
    <w:rsid w:val="0097491C"/>
    <w:rsid w:val="0097645B"/>
    <w:rsid w:val="00980500"/>
    <w:rsid w:val="0098339D"/>
    <w:rsid w:val="00984131"/>
    <w:rsid w:val="00984E20"/>
    <w:rsid w:val="00985BBE"/>
    <w:rsid w:val="009866D4"/>
    <w:rsid w:val="0098753F"/>
    <w:rsid w:val="009908A9"/>
    <w:rsid w:val="00992888"/>
    <w:rsid w:val="00994289"/>
    <w:rsid w:val="00994514"/>
    <w:rsid w:val="009A1371"/>
    <w:rsid w:val="009A13AE"/>
    <w:rsid w:val="009A1B82"/>
    <w:rsid w:val="009A2085"/>
    <w:rsid w:val="009A48D7"/>
    <w:rsid w:val="009A60E4"/>
    <w:rsid w:val="009A7096"/>
    <w:rsid w:val="009A7391"/>
    <w:rsid w:val="009B10C4"/>
    <w:rsid w:val="009B4304"/>
    <w:rsid w:val="009B45A5"/>
    <w:rsid w:val="009B4CFE"/>
    <w:rsid w:val="009B5137"/>
    <w:rsid w:val="009B5821"/>
    <w:rsid w:val="009B6C6F"/>
    <w:rsid w:val="009C0305"/>
    <w:rsid w:val="009C1082"/>
    <w:rsid w:val="009C1E0C"/>
    <w:rsid w:val="009C20F8"/>
    <w:rsid w:val="009C36F0"/>
    <w:rsid w:val="009C3EE1"/>
    <w:rsid w:val="009C3F20"/>
    <w:rsid w:val="009C4326"/>
    <w:rsid w:val="009C57AB"/>
    <w:rsid w:val="009C582B"/>
    <w:rsid w:val="009C6547"/>
    <w:rsid w:val="009C74B6"/>
    <w:rsid w:val="009C75B3"/>
    <w:rsid w:val="009D074B"/>
    <w:rsid w:val="009D166B"/>
    <w:rsid w:val="009D1A12"/>
    <w:rsid w:val="009D21EE"/>
    <w:rsid w:val="009D3058"/>
    <w:rsid w:val="009D38C3"/>
    <w:rsid w:val="009D3903"/>
    <w:rsid w:val="009D3B3B"/>
    <w:rsid w:val="009D5D00"/>
    <w:rsid w:val="009E1DF4"/>
    <w:rsid w:val="009E272F"/>
    <w:rsid w:val="009E5BA4"/>
    <w:rsid w:val="009E5C95"/>
    <w:rsid w:val="009E6B7A"/>
    <w:rsid w:val="009E764C"/>
    <w:rsid w:val="009F173E"/>
    <w:rsid w:val="009F3470"/>
    <w:rsid w:val="009F4414"/>
    <w:rsid w:val="009F4818"/>
    <w:rsid w:val="009F628C"/>
    <w:rsid w:val="009F76C2"/>
    <w:rsid w:val="00A0027E"/>
    <w:rsid w:val="00A005BF"/>
    <w:rsid w:val="00A04CF7"/>
    <w:rsid w:val="00A0648B"/>
    <w:rsid w:val="00A064BD"/>
    <w:rsid w:val="00A06F50"/>
    <w:rsid w:val="00A071A6"/>
    <w:rsid w:val="00A11334"/>
    <w:rsid w:val="00A124E5"/>
    <w:rsid w:val="00A127FF"/>
    <w:rsid w:val="00A13A89"/>
    <w:rsid w:val="00A141B0"/>
    <w:rsid w:val="00A20626"/>
    <w:rsid w:val="00A211C1"/>
    <w:rsid w:val="00A2215A"/>
    <w:rsid w:val="00A221BF"/>
    <w:rsid w:val="00A223D4"/>
    <w:rsid w:val="00A24389"/>
    <w:rsid w:val="00A2520C"/>
    <w:rsid w:val="00A26A3A"/>
    <w:rsid w:val="00A270AE"/>
    <w:rsid w:val="00A30056"/>
    <w:rsid w:val="00A302ED"/>
    <w:rsid w:val="00A31F1E"/>
    <w:rsid w:val="00A32319"/>
    <w:rsid w:val="00A32F51"/>
    <w:rsid w:val="00A3428C"/>
    <w:rsid w:val="00A3526C"/>
    <w:rsid w:val="00A365E3"/>
    <w:rsid w:val="00A36E2A"/>
    <w:rsid w:val="00A403DE"/>
    <w:rsid w:val="00A40C24"/>
    <w:rsid w:val="00A44264"/>
    <w:rsid w:val="00A447ED"/>
    <w:rsid w:val="00A46431"/>
    <w:rsid w:val="00A46F28"/>
    <w:rsid w:val="00A47B37"/>
    <w:rsid w:val="00A51016"/>
    <w:rsid w:val="00A52E80"/>
    <w:rsid w:val="00A53EEC"/>
    <w:rsid w:val="00A548AA"/>
    <w:rsid w:val="00A56244"/>
    <w:rsid w:val="00A60022"/>
    <w:rsid w:val="00A600E4"/>
    <w:rsid w:val="00A6062D"/>
    <w:rsid w:val="00A60E1C"/>
    <w:rsid w:val="00A6428B"/>
    <w:rsid w:val="00A6798F"/>
    <w:rsid w:val="00A7124A"/>
    <w:rsid w:val="00A741D9"/>
    <w:rsid w:val="00A74662"/>
    <w:rsid w:val="00A757CE"/>
    <w:rsid w:val="00A75BFE"/>
    <w:rsid w:val="00A7674F"/>
    <w:rsid w:val="00A76B7C"/>
    <w:rsid w:val="00A775CF"/>
    <w:rsid w:val="00A7773D"/>
    <w:rsid w:val="00A81666"/>
    <w:rsid w:val="00A816F5"/>
    <w:rsid w:val="00A838C1"/>
    <w:rsid w:val="00A83CDF"/>
    <w:rsid w:val="00A844F1"/>
    <w:rsid w:val="00A84660"/>
    <w:rsid w:val="00A856A3"/>
    <w:rsid w:val="00A90DDB"/>
    <w:rsid w:val="00A917BB"/>
    <w:rsid w:val="00A95A2F"/>
    <w:rsid w:val="00A95C75"/>
    <w:rsid w:val="00A96E2E"/>
    <w:rsid w:val="00A9776D"/>
    <w:rsid w:val="00A97801"/>
    <w:rsid w:val="00AA04FC"/>
    <w:rsid w:val="00AA11B4"/>
    <w:rsid w:val="00AA150F"/>
    <w:rsid w:val="00AA1562"/>
    <w:rsid w:val="00AA172F"/>
    <w:rsid w:val="00AA222A"/>
    <w:rsid w:val="00AA2A49"/>
    <w:rsid w:val="00AA597F"/>
    <w:rsid w:val="00AA6454"/>
    <w:rsid w:val="00AB064C"/>
    <w:rsid w:val="00AB23EF"/>
    <w:rsid w:val="00AB2EA0"/>
    <w:rsid w:val="00AB3C44"/>
    <w:rsid w:val="00AB435F"/>
    <w:rsid w:val="00AB79A3"/>
    <w:rsid w:val="00AB7EA2"/>
    <w:rsid w:val="00AC1084"/>
    <w:rsid w:val="00AC3EA9"/>
    <w:rsid w:val="00AC4C83"/>
    <w:rsid w:val="00AC4F1B"/>
    <w:rsid w:val="00AC4F5E"/>
    <w:rsid w:val="00AC5ACE"/>
    <w:rsid w:val="00AC77ED"/>
    <w:rsid w:val="00AC7D26"/>
    <w:rsid w:val="00AD1196"/>
    <w:rsid w:val="00AD2986"/>
    <w:rsid w:val="00AD2E37"/>
    <w:rsid w:val="00AD39AA"/>
    <w:rsid w:val="00AD60FA"/>
    <w:rsid w:val="00AD6479"/>
    <w:rsid w:val="00AD66FA"/>
    <w:rsid w:val="00AE07D6"/>
    <w:rsid w:val="00AE0B6E"/>
    <w:rsid w:val="00AE2E55"/>
    <w:rsid w:val="00AE486F"/>
    <w:rsid w:val="00AE5BF7"/>
    <w:rsid w:val="00AE6D8B"/>
    <w:rsid w:val="00AE756A"/>
    <w:rsid w:val="00AF0BCC"/>
    <w:rsid w:val="00AF3162"/>
    <w:rsid w:val="00AF32F3"/>
    <w:rsid w:val="00AF5698"/>
    <w:rsid w:val="00AF637C"/>
    <w:rsid w:val="00B006F9"/>
    <w:rsid w:val="00B00A55"/>
    <w:rsid w:val="00B02CC9"/>
    <w:rsid w:val="00B03210"/>
    <w:rsid w:val="00B045DB"/>
    <w:rsid w:val="00B04615"/>
    <w:rsid w:val="00B05244"/>
    <w:rsid w:val="00B053EC"/>
    <w:rsid w:val="00B068D7"/>
    <w:rsid w:val="00B0709F"/>
    <w:rsid w:val="00B07105"/>
    <w:rsid w:val="00B0742C"/>
    <w:rsid w:val="00B078EB"/>
    <w:rsid w:val="00B07DB5"/>
    <w:rsid w:val="00B07FC6"/>
    <w:rsid w:val="00B102DA"/>
    <w:rsid w:val="00B102F9"/>
    <w:rsid w:val="00B108F4"/>
    <w:rsid w:val="00B11A7D"/>
    <w:rsid w:val="00B11EBD"/>
    <w:rsid w:val="00B126AA"/>
    <w:rsid w:val="00B131A3"/>
    <w:rsid w:val="00B13CE9"/>
    <w:rsid w:val="00B13EC4"/>
    <w:rsid w:val="00B147B8"/>
    <w:rsid w:val="00B16CA0"/>
    <w:rsid w:val="00B17A3C"/>
    <w:rsid w:val="00B200DA"/>
    <w:rsid w:val="00B2100B"/>
    <w:rsid w:val="00B21043"/>
    <w:rsid w:val="00B2146D"/>
    <w:rsid w:val="00B21B95"/>
    <w:rsid w:val="00B22801"/>
    <w:rsid w:val="00B23912"/>
    <w:rsid w:val="00B267FD"/>
    <w:rsid w:val="00B27F1A"/>
    <w:rsid w:val="00B30507"/>
    <w:rsid w:val="00B3101F"/>
    <w:rsid w:val="00B32903"/>
    <w:rsid w:val="00B32AFD"/>
    <w:rsid w:val="00B35019"/>
    <w:rsid w:val="00B35B69"/>
    <w:rsid w:val="00B35CBE"/>
    <w:rsid w:val="00B37929"/>
    <w:rsid w:val="00B41BCB"/>
    <w:rsid w:val="00B44123"/>
    <w:rsid w:val="00B45033"/>
    <w:rsid w:val="00B50453"/>
    <w:rsid w:val="00B50626"/>
    <w:rsid w:val="00B50EE7"/>
    <w:rsid w:val="00B537B3"/>
    <w:rsid w:val="00B5476C"/>
    <w:rsid w:val="00B5494A"/>
    <w:rsid w:val="00B5734B"/>
    <w:rsid w:val="00B61056"/>
    <w:rsid w:val="00B610BA"/>
    <w:rsid w:val="00B617A8"/>
    <w:rsid w:val="00B61CB2"/>
    <w:rsid w:val="00B61DC5"/>
    <w:rsid w:val="00B6465A"/>
    <w:rsid w:val="00B64AC9"/>
    <w:rsid w:val="00B658D5"/>
    <w:rsid w:val="00B667C9"/>
    <w:rsid w:val="00B67C38"/>
    <w:rsid w:val="00B67C58"/>
    <w:rsid w:val="00B67F81"/>
    <w:rsid w:val="00B72867"/>
    <w:rsid w:val="00B7298C"/>
    <w:rsid w:val="00B72A0A"/>
    <w:rsid w:val="00B73C0B"/>
    <w:rsid w:val="00B73FE9"/>
    <w:rsid w:val="00B74199"/>
    <w:rsid w:val="00B74290"/>
    <w:rsid w:val="00B81449"/>
    <w:rsid w:val="00B8328A"/>
    <w:rsid w:val="00B871BE"/>
    <w:rsid w:val="00B90B7B"/>
    <w:rsid w:val="00B93E33"/>
    <w:rsid w:val="00B964B5"/>
    <w:rsid w:val="00B96E82"/>
    <w:rsid w:val="00BA1698"/>
    <w:rsid w:val="00BA1DB1"/>
    <w:rsid w:val="00BA3AA7"/>
    <w:rsid w:val="00BA4404"/>
    <w:rsid w:val="00BA5873"/>
    <w:rsid w:val="00BA5A13"/>
    <w:rsid w:val="00BA65A8"/>
    <w:rsid w:val="00BA6A9D"/>
    <w:rsid w:val="00BA6D05"/>
    <w:rsid w:val="00BA719B"/>
    <w:rsid w:val="00BB10DA"/>
    <w:rsid w:val="00BB1309"/>
    <w:rsid w:val="00BB22C5"/>
    <w:rsid w:val="00BB2CC3"/>
    <w:rsid w:val="00BB2D4A"/>
    <w:rsid w:val="00BB4D71"/>
    <w:rsid w:val="00BB566B"/>
    <w:rsid w:val="00BB6BF0"/>
    <w:rsid w:val="00BC1E37"/>
    <w:rsid w:val="00BC2AAD"/>
    <w:rsid w:val="00BC4E91"/>
    <w:rsid w:val="00BC51EB"/>
    <w:rsid w:val="00BC56E4"/>
    <w:rsid w:val="00BC5998"/>
    <w:rsid w:val="00BD1FC7"/>
    <w:rsid w:val="00BD2E65"/>
    <w:rsid w:val="00BD360A"/>
    <w:rsid w:val="00BD4315"/>
    <w:rsid w:val="00BD49C8"/>
    <w:rsid w:val="00BD4E51"/>
    <w:rsid w:val="00BD5257"/>
    <w:rsid w:val="00BD6ADA"/>
    <w:rsid w:val="00BD7717"/>
    <w:rsid w:val="00BE2D7D"/>
    <w:rsid w:val="00BE48A7"/>
    <w:rsid w:val="00BE4AC4"/>
    <w:rsid w:val="00BE4FCC"/>
    <w:rsid w:val="00BE6B49"/>
    <w:rsid w:val="00BE7315"/>
    <w:rsid w:val="00BF08E0"/>
    <w:rsid w:val="00BF0D8E"/>
    <w:rsid w:val="00BF2F9A"/>
    <w:rsid w:val="00BF4D36"/>
    <w:rsid w:val="00BF56B0"/>
    <w:rsid w:val="00BF6832"/>
    <w:rsid w:val="00BF736C"/>
    <w:rsid w:val="00BF771B"/>
    <w:rsid w:val="00C0223A"/>
    <w:rsid w:val="00C03A4C"/>
    <w:rsid w:val="00C04E40"/>
    <w:rsid w:val="00C05AEC"/>
    <w:rsid w:val="00C14A1A"/>
    <w:rsid w:val="00C153D9"/>
    <w:rsid w:val="00C17F82"/>
    <w:rsid w:val="00C17FD0"/>
    <w:rsid w:val="00C2048F"/>
    <w:rsid w:val="00C2062A"/>
    <w:rsid w:val="00C21D3D"/>
    <w:rsid w:val="00C23B25"/>
    <w:rsid w:val="00C261B5"/>
    <w:rsid w:val="00C266DB"/>
    <w:rsid w:val="00C26C17"/>
    <w:rsid w:val="00C26F64"/>
    <w:rsid w:val="00C272FE"/>
    <w:rsid w:val="00C30D24"/>
    <w:rsid w:val="00C30FFA"/>
    <w:rsid w:val="00C33DE6"/>
    <w:rsid w:val="00C347F3"/>
    <w:rsid w:val="00C3644C"/>
    <w:rsid w:val="00C366C4"/>
    <w:rsid w:val="00C403E6"/>
    <w:rsid w:val="00C40C4D"/>
    <w:rsid w:val="00C415D1"/>
    <w:rsid w:val="00C4396B"/>
    <w:rsid w:val="00C44187"/>
    <w:rsid w:val="00C4427A"/>
    <w:rsid w:val="00C45694"/>
    <w:rsid w:val="00C46503"/>
    <w:rsid w:val="00C473BF"/>
    <w:rsid w:val="00C50518"/>
    <w:rsid w:val="00C5302B"/>
    <w:rsid w:val="00C54FCC"/>
    <w:rsid w:val="00C55C5E"/>
    <w:rsid w:val="00C623EA"/>
    <w:rsid w:val="00C633C4"/>
    <w:rsid w:val="00C63657"/>
    <w:rsid w:val="00C6368A"/>
    <w:rsid w:val="00C71B0B"/>
    <w:rsid w:val="00C7544D"/>
    <w:rsid w:val="00C75F51"/>
    <w:rsid w:val="00C76A95"/>
    <w:rsid w:val="00C76F8C"/>
    <w:rsid w:val="00C8083C"/>
    <w:rsid w:val="00C80ACB"/>
    <w:rsid w:val="00C85FA6"/>
    <w:rsid w:val="00C860D4"/>
    <w:rsid w:val="00C86E63"/>
    <w:rsid w:val="00C86F07"/>
    <w:rsid w:val="00C86F46"/>
    <w:rsid w:val="00C8799E"/>
    <w:rsid w:val="00C90188"/>
    <w:rsid w:val="00C9175F"/>
    <w:rsid w:val="00C9372B"/>
    <w:rsid w:val="00C93914"/>
    <w:rsid w:val="00C93ABE"/>
    <w:rsid w:val="00C96F1D"/>
    <w:rsid w:val="00CA1AB6"/>
    <w:rsid w:val="00CA264C"/>
    <w:rsid w:val="00CA4AC6"/>
    <w:rsid w:val="00CA575F"/>
    <w:rsid w:val="00CA5816"/>
    <w:rsid w:val="00CB0EFB"/>
    <w:rsid w:val="00CB17D0"/>
    <w:rsid w:val="00CB1A93"/>
    <w:rsid w:val="00CB23E2"/>
    <w:rsid w:val="00CB2716"/>
    <w:rsid w:val="00CB28BD"/>
    <w:rsid w:val="00CB34F3"/>
    <w:rsid w:val="00CB3E33"/>
    <w:rsid w:val="00CB692B"/>
    <w:rsid w:val="00CC1202"/>
    <w:rsid w:val="00CC309E"/>
    <w:rsid w:val="00CC6082"/>
    <w:rsid w:val="00CC6533"/>
    <w:rsid w:val="00CC7331"/>
    <w:rsid w:val="00CD0745"/>
    <w:rsid w:val="00CD171E"/>
    <w:rsid w:val="00CD59A6"/>
    <w:rsid w:val="00CE08BA"/>
    <w:rsid w:val="00CE0B83"/>
    <w:rsid w:val="00CE49DD"/>
    <w:rsid w:val="00CE49FA"/>
    <w:rsid w:val="00CF3850"/>
    <w:rsid w:val="00CF3B74"/>
    <w:rsid w:val="00CF3C56"/>
    <w:rsid w:val="00CF535C"/>
    <w:rsid w:val="00CF6526"/>
    <w:rsid w:val="00CF7649"/>
    <w:rsid w:val="00CF7D60"/>
    <w:rsid w:val="00D00F5B"/>
    <w:rsid w:val="00D02417"/>
    <w:rsid w:val="00D031EC"/>
    <w:rsid w:val="00D04417"/>
    <w:rsid w:val="00D04534"/>
    <w:rsid w:val="00D0473F"/>
    <w:rsid w:val="00D05DD4"/>
    <w:rsid w:val="00D05FFD"/>
    <w:rsid w:val="00D11730"/>
    <w:rsid w:val="00D12EC0"/>
    <w:rsid w:val="00D1683C"/>
    <w:rsid w:val="00D20196"/>
    <w:rsid w:val="00D203CF"/>
    <w:rsid w:val="00D22E66"/>
    <w:rsid w:val="00D23600"/>
    <w:rsid w:val="00D24259"/>
    <w:rsid w:val="00D24CE3"/>
    <w:rsid w:val="00D27217"/>
    <w:rsid w:val="00D322E6"/>
    <w:rsid w:val="00D32716"/>
    <w:rsid w:val="00D335E4"/>
    <w:rsid w:val="00D34EB0"/>
    <w:rsid w:val="00D3545D"/>
    <w:rsid w:val="00D37D9B"/>
    <w:rsid w:val="00D409F6"/>
    <w:rsid w:val="00D41AB1"/>
    <w:rsid w:val="00D4267D"/>
    <w:rsid w:val="00D43F4D"/>
    <w:rsid w:val="00D44D88"/>
    <w:rsid w:val="00D47E0C"/>
    <w:rsid w:val="00D519EE"/>
    <w:rsid w:val="00D53427"/>
    <w:rsid w:val="00D5349E"/>
    <w:rsid w:val="00D5384B"/>
    <w:rsid w:val="00D54CEA"/>
    <w:rsid w:val="00D57E8F"/>
    <w:rsid w:val="00D6132C"/>
    <w:rsid w:val="00D61453"/>
    <w:rsid w:val="00D61692"/>
    <w:rsid w:val="00D630C8"/>
    <w:rsid w:val="00D636F0"/>
    <w:rsid w:val="00D64F8B"/>
    <w:rsid w:val="00D67248"/>
    <w:rsid w:val="00D70924"/>
    <w:rsid w:val="00D70990"/>
    <w:rsid w:val="00D73906"/>
    <w:rsid w:val="00D74BBD"/>
    <w:rsid w:val="00D752B6"/>
    <w:rsid w:val="00D7659F"/>
    <w:rsid w:val="00D76840"/>
    <w:rsid w:val="00D77745"/>
    <w:rsid w:val="00D80133"/>
    <w:rsid w:val="00D845CA"/>
    <w:rsid w:val="00D86139"/>
    <w:rsid w:val="00D913A2"/>
    <w:rsid w:val="00D9197B"/>
    <w:rsid w:val="00D93125"/>
    <w:rsid w:val="00D93AA4"/>
    <w:rsid w:val="00D94A5B"/>
    <w:rsid w:val="00D9605F"/>
    <w:rsid w:val="00D976E7"/>
    <w:rsid w:val="00DA073F"/>
    <w:rsid w:val="00DA2606"/>
    <w:rsid w:val="00DA337C"/>
    <w:rsid w:val="00DA3EEA"/>
    <w:rsid w:val="00DA4845"/>
    <w:rsid w:val="00DA675E"/>
    <w:rsid w:val="00DB0842"/>
    <w:rsid w:val="00DB14F4"/>
    <w:rsid w:val="00DB15CF"/>
    <w:rsid w:val="00DB3A32"/>
    <w:rsid w:val="00DB41DB"/>
    <w:rsid w:val="00DB6C1C"/>
    <w:rsid w:val="00DB6EFB"/>
    <w:rsid w:val="00DB7414"/>
    <w:rsid w:val="00DB759D"/>
    <w:rsid w:val="00DB7F58"/>
    <w:rsid w:val="00DC11F4"/>
    <w:rsid w:val="00DC2188"/>
    <w:rsid w:val="00DC4550"/>
    <w:rsid w:val="00DC4D63"/>
    <w:rsid w:val="00DC729C"/>
    <w:rsid w:val="00DD453E"/>
    <w:rsid w:val="00DD517A"/>
    <w:rsid w:val="00DE0584"/>
    <w:rsid w:val="00DE078D"/>
    <w:rsid w:val="00DE0978"/>
    <w:rsid w:val="00DE4139"/>
    <w:rsid w:val="00DE776E"/>
    <w:rsid w:val="00DF309B"/>
    <w:rsid w:val="00DF3CD6"/>
    <w:rsid w:val="00DF6FC9"/>
    <w:rsid w:val="00E00B9D"/>
    <w:rsid w:val="00E00EF6"/>
    <w:rsid w:val="00E027E2"/>
    <w:rsid w:val="00E02979"/>
    <w:rsid w:val="00E03434"/>
    <w:rsid w:val="00E0606C"/>
    <w:rsid w:val="00E1106B"/>
    <w:rsid w:val="00E12120"/>
    <w:rsid w:val="00E123E5"/>
    <w:rsid w:val="00E13035"/>
    <w:rsid w:val="00E13D43"/>
    <w:rsid w:val="00E1410D"/>
    <w:rsid w:val="00E15624"/>
    <w:rsid w:val="00E16142"/>
    <w:rsid w:val="00E20518"/>
    <w:rsid w:val="00E22E3A"/>
    <w:rsid w:val="00E3053E"/>
    <w:rsid w:val="00E30603"/>
    <w:rsid w:val="00E30B8A"/>
    <w:rsid w:val="00E316BB"/>
    <w:rsid w:val="00E32659"/>
    <w:rsid w:val="00E33AE2"/>
    <w:rsid w:val="00E34845"/>
    <w:rsid w:val="00E3579E"/>
    <w:rsid w:val="00E35997"/>
    <w:rsid w:val="00E409AD"/>
    <w:rsid w:val="00E416DD"/>
    <w:rsid w:val="00E42B89"/>
    <w:rsid w:val="00E43591"/>
    <w:rsid w:val="00E43D95"/>
    <w:rsid w:val="00E4591E"/>
    <w:rsid w:val="00E517C3"/>
    <w:rsid w:val="00E52332"/>
    <w:rsid w:val="00E531F6"/>
    <w:rsid w:val="00E55EFC"/>
    <w:rsid w:val="00E57BC2"/>
    <w:rsid w:val="00E606D3"/>
    <w:rsid w:val="00E62B5D"/>
    <w:rsid w:val="00E63A70"/>
    <w:rsid w:val="00E63C7C"/>
    <w:rsid w:val="00E65DAF"/>
    <w:rsid w:val="00E660D7"/>
    <w:rsid w:val="00E669C3"/>
    <w:rsid w:val="00E71DC2"/>
    <w:rsid w:val="00E72C9C"/>
    <w:rsid w:val="00E7325C"/>
    <w:rsid w:val="00E754DE"/>
    <w:rsid w:val="00E76C01"/>
    <w:rsid w:val="00E77EC4"/>
    <w:rsid w:val="00E81942"/>
    <w:rsid w:val="00E83353"/>
    <w:rsid w:val="00E84DC9"/>
    <w:rsid w:val="00E8504B"/>
    <w:rsid w:val="00E85BB4"/>
    <w:rsid w:val="00E868BC"/>
    <w:rsid w:val="00E87922"/>
    <w:rsid w:val="00E9008F"/>
    <w:rsid w:val="00E919A7"/>
    <w:rsid w:val="00E93628"/>
    <w:rsid w:val="00E9398E"/>
    <w:rsid w:val="00E949AC"/>
    <w:rsid w:val="00E96CC6"/>
    <w:rsid w:val="00E97D87"/>
    <w:rsid w:val="00EA1461"/>
    <w:rsid w:val="00EA1729"/>
    <w:rsid w:val="00EA22E5"/>
    <w:rsid w:val="00EA35C0"/>
    <w:rsid w:val="00EA3683"/>
    <w:rsid w:val="00EA4CA5"/>
    <w:rsid w:val="00EA7727"/>
    <w:rsid w:val="00EB0AD6"/>
    <w:rsid w:val="00EB1543"/>
    <w:rsid w:val="00EB1A54"/>
    <w:rsid w:val="00EB21DD"/>
    <w:rsid w:val="00EB2BC6"/>
    <w:rsid w:val="00EB3141"/>
    <w:rsid w:val="00EB7649"/>
    <w:rsid w:val="00EC015F"/>
    <w:rsid w:val="00EC0F37"/>
    <w:rsid w:val="00EC4600"/>
    <w:rsid w:val="00EC49E1"/>
    <w:rsid w:val="00EC61B6"/>
    <w:rsid w:val="00EC6842"/>
    <w:rsid w:val="00EC7A27"/>
    <w:rsid w:val="00ED119B"/>
    <w:rsid w:val="00ED42FB"/>
    <w:rsid w:val="00EE1407"/>
    <w:rsid w:val="00EE2025"/>
    <w:rsid w:val="00EE24A3"/>
    <w:rsid w:val="00EE33D1"/>
    <w:rsid w:val="00EE4CCE"/>
    <w:rsid w:val="00EE7629"/>
    <w:rsid w:val="00EF05E1"/>
    <w:rsid w:val="00EF210D"/>
    <w:rsid w:val="00EF2DDE"/>
    <w:rsid w:val="00EF36B1"/>
    <w:rsid w:val="00EF4D84"/>
    <w:rsid w:val="00EF5132"/>
    <w:rsid w:val="00F0124C"/>
    <w:rsid w:val="00F041BD"/>
    <w:rsid w:val="00F05741"/>
    <w:rsid w:val="00F1198F"/>
    <w:rsid w:val="00F154DA"/>
    <w:rsid w:val="00F15E6A"/>
    <w:rsid w:val="00F16733"/>
    <w:rsid w:val="00F16775"/>
    <w:rsid w:val="00F16A4F"/>
    <w:rsid w:val="00F207F1"/>
    <w:rsid w:val="00F21CC4"/>
    <w:rsid w:val="00F232FC"/>
    <w:rsid w:val="00F2396E"/>
    <w:rsid w:val="00F24DE9"/>
    <w:rsid w:val="00F25192"/>
    <w:rsid w:val="00F25472"/>
    <w:rsid w:val="00F2673A"/>
    <w:rsid w:val="00F26C00"/>
    <w:rsid w:val="00F27E64"/>
    <w:rsid w:val="00F30334"/>
    <w:rsid w:val="00F31997"/>
    <w:rsid w:val="00F31F67"/>
    <w:rsid w:val="00F334E0"/>
    <w:rsid w:val="00F35826"/>
    <w:rsid w:val="00F36C50"/>
    <w:rsid w:val="00F40AC4"/>
    <w:rsid w:val="00F424D9"/>
    <w:rsid w:val="00F42F01"/>
    <w:rsid w:val="00F43B93"/>
    <w:rsid w:val="00F462B6"/>
    <w:rsid w:val="00F4659D"/>
    <w:rsid w:val="00F479DA"/>
    <w:rsid w:val="00F503CD"/>
    <w:rsid w:val="00F50B54"/>
    <w:rsid w:val="00F512B8"/>
    <w:rsid w:val="00F52D8C"/>
    <w:rsid w:val="00F55818"/>
    <w:rsid w:val="00F55C29"/>
    <w:rsid w:val="00F56FC9"/>
    <w:rsid w:val="00F618E3"/>
    <w:rsid w:val="00F61DDD"/>
    <w:rsid w:val="00F639D0"/>
    <w:rsid w:val="00F6769D"/>
    <w:rsid w:val="00F67C85"/>
    <w:rsid w:val="00F703C7"/>
    <w:rsid w:val="00F705DF"/>
    <w:rsid w:val="00F70FBE"/>
    <w:rsid w:val="00F738D9"/>
    <w:rsid w:val="00F73B15"/>
    <w:rsid w:val="00F76D68"/>
    <w:rsid w:val="00F82738"/>
    <w:rsid w:val="00F82ACC"/>
    <w:rsid w:val="00F856DB"/>
    <w:rsid w:val="00F872A7"/>
    <w:rsid w:val="00F934F5"/>
    <w:rsid w:val="00F93C3E"/>
    <w:rsid w:val="00F94C7A"/>
    <w:rsid w:val="00F9570B"/>
    <w:rsid w:val="00F967F8"/>
    <w:rsid w:val="00F9700F"/>
    <w:rsid w:val="00F973EA"/>
    <w:rsid w:val="00FA104E"/>
    <w:rsid w:val="00FA1310"/>
    <w:rsid w:val="00FA3A5E"/>
    <w:rsid w:val="00FA5BBB"/>
    <w:rsid w:val="00FB4725"/>
    <w:rsid w:val="00FB7484"/>
    <w:rsid w:val="00FB793D"/>
    <w:rsid w:val="00FC0891"/>
    <w:rsid w:val="00FC0F72"/>
    <w:rsid w:val="00FC25F5"/>
    <w:rsid w:val="00FC2B01"/>
    <w:rsid w:val="00FC2FEC"/>
    <w:rsid w:val="00FC33DA"/>
    <w:rsid w:val="00FC35C9"/>
    <w:rsid w:val="00FC5E57"/>
    <w:rsid w:val="00FC7223"/>
    <w:rsid w:val="00FD1D11"/>
    <w:rsid w:val="00FD2A94"/>
    <w:rsid w:val="00FD2FB8"/>
    <w:rsid w:val="00FD4B3C"/>
    <w:rsid w:val="00FD5B7E"/>
    <w:rsid w:val="00FD7491"/>
    <w:rsid w:val="00FE0C80"/>
    <w:rsid w:val="00FE1AFB"/>
    <w:rsid w:val="00FE263B"/>
    <w:rsid w:val="00FE3274"/>
    <w:rsid w:val="00FE3CD2"/>
    <w:rsid w:val="00FE3F5E"/>
    <w:rsid w:val="00FE421B"/>
    <w:rsid w:val="00FE49B3"/>
    <w:rsid w:val="00FE5DFD"/>
    <w:rsid w:val="00FE78EE"/>
    <w:rsid w:val="00FE7B6B"/>
    <w:rsid w:val="00FE7FCB"/>
    <w:rsid w:val="00FF13D8"/>
    <w:rsid w:val="00FF1DB9"/>
    <w:rsid w:val="00FF4E00"/>
    <w:rsid w:val="00FF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B5005-4E38-4D08-90DD-36987D82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3E"/>
  </w:style>
  <w:style w:type="paragraph" w:styleId="Heading1">
    <w:name w:val="heading 1"/>
    <w:basedOn w:val="Normal"/>
    <w:next w:val="Normal"/>
    <w:link w:val="Heading1Char"/>
    <w:qFormat/>
    <w:rsid w:val="000930B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23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5244"/>
    <w:pPr>
      <w:ind w:left="720"/>
      <w:contextualSpacing/>
    </w:pPr>
  </w:style>
  <w:style w:type="paragraph" w:styleId="Header">
    <w:name w:val="header"/>
    <w:basedOn w:val="Normal"/>
    <w:link w:val="HeaderChar"/>
    <w:unhideWhenUsed/>
    <w:rsid w:val="00FA3A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A5E"/>
  </w:style>
  <w:style w:type="paragraph" w:styleId="Footer">
    <w:name w:val="footer"/>
    <w:basedOn w:val="Normal"/>
    <w:link w:val="FooterChar"/>
    <w:uiPriority w:val="99"/>
    <w:unhideWhenUsed/>
    <w:rsid w:val="00FA3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5E"/>
  </w:style>
  <w:style w:type="paragraph" w:customStyle="1" w:styleId="Default">
    <w:name w:val="Default"/>
    <w:rsid w:val="006B43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930B4"/>
    <w:rPr>
      <w:rFonts w:ascii="Cambria" w:eastAsia="Times New Roman" w:hAnsi="Cambria" w:cs="Times New Roman"/>
      <w:b/>
      <w:bCs/>
      <w:kern w:val="32"/>
      <w:sz w:val="32"/>
      <w:szCs w:val="32"/>
      <w:lang w:eastAsia="en-AU"/>
    </w:rPr>
  </w:style>
  <w:style w:type="paragraph" w:styleId="BalloonText">
    <w:name w:val="Balloon Text"/>
    <w:basedOn w:val="Normal"/>
    <w:link w:val="BalloonTextChar"/>
    <w:uiPriority w:val="99"/>
    <w:semiHidden/>
    <w:unhideWhenUsed/>
    <w:rsid w:val="0041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F1"/>
    <w:rPr>
      <w:rFonts w:ascii="Tahoma" w:hAnsi="Tahoma" w:cs="Tahoma"/>
      <w:sz w:val="16"/>
      <w:szCs w:val="16"/>
    </w:rPr>
  </w:style>
  <w:style w:type="paragraph" w:styleId="EndnoteText">
    <w:name w:val="endnote text"/>
    <w:basedOn w:val="Normal"/>
    <w:link w:val="EndnoteTextChar"/>
    <w:semiHidden/>
    <w:unhideWhenUsed/>
    <w:rsid w:val="00BE4AC4"/>
    <w:pPr>
      <w:spacing w:after="0" w:line="240" w:lineRule="auto"/>
    </w:pPr>
    <w:rPr>
      <w:rFonts w:ascii="Arial" w:eastAsia="Times New Roman" w:hAnsi="Arial" w:cs="Times New Roman"/>
      <w:sz w:val="20"/>
      <w:szCs w:val="20"/>
      <w:lang w:eastAsia="en-US"/>
    </w:rPr>
  </w:style>
  <w:style w:type="character" w:customStyle="1" w:styleId="EndnoteTextChar">
    <w:name w:val="Endnote Text Char"/>
    <w:basedOn w:val="DefaultParagraphFont"/>
    <w:link w:val="EndnoteText"/>
    <w:semiHidden/>
    <w:rsid w:val="00BE4AC4"/>
    <w:rPr>
      <w:rFonts w:ascii="Arial" w:eastAsia="Times New Roman" w:hAnsi="Arial" w:cs="Times New Roman"/>
      <w:sz w:val="20"/>
      <w:szCs w:val="20"/>
      <w:lang w:eastAsia="en-US"/>
    </w:rPr>
  </w:style>
  <w:style w:type="character" w:styleId="EndnoteReference">
    <w:name w:val="endnote reference"/>
    <w:basedOn w:val="DefaultParagraphFont"/>
    <w:semiHidden/>
    <w:unhideWhenUsed/>
    <w:rsid w:val="00BE4AC4"/>
    <w:rPr>
      <w:vertAlign w:val="superscript"/>
    </w:rPr>
  </w:style>
  <w:style w:type="table" w:styleId="TableGrid">
    <w:name w:val="Table Grid"/>
    <w:basedOn w:val="TableNormal"/>
    <w:rsid w:val="00BE4AC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33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403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A403DE"/>
    <w:pPr>
      <w:spacing w:after="100"/>
    </w:pPr>
  </w:style>
  <w:style w:type="paragraph" w:styleId="TOC2">
    <w:name w:val="toc 2"/>
    <w:basedOn w:val="Normal"/>
    <w:next w:val="Normal"/>
    <w:autoRedefine/>
    <w:uiPriority w:val="39"/>
    <w:unhideWhenUsed/>
    <w:rsid w:val="00A403DE"/>
    <w:pPr>
      <w:spacing w:after="100"/>
      <w:ind w:left="220"/>
    </w:pPr>
  </w:style>
  <w:style w:type="character" w:styleId="Hyperlink">
    <w:name w:val="Hyperlink"/>
    <w:basedOn w:val="DefaultParagraphFont"/>
    <w:uiPriority w:val="99"/>
    <w:unhideWhenUsed/>
    <w:rsid w:val="00A403DE"/>
    <w:rPr>
      <w:color w:val="0000FF" w:themeColor="hyperlink"/>
      <w:u w:val="single"/>
    </w:rPr>
  </w:style>
  <w:style w:type="character" w:styleId="CommentReference">
    <w:name w:val="annotation reference"/>
    <w:basedOn w:val="DefaultParagraphFont"/>
    <w:uiPriority w:val="99"/>
    <w:semiHidden/>
    <w:unhideWhenUsed/>
    <w:rsid w:val="000C271A"/>
    <w:rPr>
      <w:sz w:val="18"/>
      <w:szCs w:val="18"/>
    </w:rPr>
  </w:style>
  <w:style w:type="paragraph" w:styleId="CommentText">
    <w:name w:val="annotation text"/>
    <w:basedOn w:val="Normal"/>
    <w:link w:val="CommentTextChar"/>
    <w:uiPriority w:val="99"/>
    <w:semiHidden/>
    <w:unhideWhenUsed/>
    <w:rsid w:val="000C271A"/>
    <w:pPr>
      <w:spacing w:line="240" w:lineRule="auto"/>
    </w:pPr>
    <w:rPr>
      <w:sz w:val="24"/>
      <w:szCs w:val="24"/>
    </w:rPr>
  </w:style>
  <w:style w:type="character" w:customStyle="1" w:styleId="CommentTextChar">
    <w:name w:val="Comment Text Char"/>
    <w:basedOn w:val="DefaultParagraphFont"/>
    <w:link w:val="CommentText"/>
    <w:uiPriority w:val="99"/>
    <w:semiHidden/>
    <w:rsid w:val="000C271A"/>
    <w:rPr>
      <w:sz w:val="24"/>
      <w:szCs w:val="24"/>
    </w:rPr>
  </w:style>
  <w:style w:type="paragraph" w:styleId="CommentSubject">
    <w:name w:val="annotation subject"/>
    <w:basedOn w:val="CommentText"/>
    <w:next w:val="CommentText"/>
    <w:link w:val="CommentSubjectChar"/>
    <w:uiPriority w:val="99"/>
    <w:semiHidden/>
    <w:unhideWhenUsed/>
    <w:rsid w:val="000C271A"/>
    <w:rPr>
      <w:b/>
      <w:bCs/>
      <w:sz w:val="20"/>
      <w:szCs w:val="20"/>
    </w:rPr>
  </w:style>
  <w:style w:type="character" w:customStyle="1" w:styleId="CommentSubjectChar">
    <w:name w:val="Comment Subject Char"/>
    <w:basedOn w:val="CommentTextChar"/>
    <w:link w:val="CommentSubject"/>
    <w:uiPriority w:val="99"/>
    <w:semiHidden/>
    <w:rsid w:val="000C271A"/>
    <w:rPr>
      <w:b/>
      <w:bCs/>
      <w:sz w:val="20"/>
      <w:szCs w:val="20"/>
    </w:rPr>
  </w:style>
  <w:style w:type="paragraph" w:styleId="FootnoteText">
    <w:name w:val="footnote text"/>
    <w:basedOn w:val="Normal"/>
    <w:link w:val="FootnoteTextChar"/>
    <w:uiPriority w:val="99"/>
    <w:semiHidden/>
    <w:unhideWhenUsed/>
    <w:rsid w:val="00AA172F"/>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AA172F"/>
    <w:rPr>
      <w:rFonts w:eastAsiaTheme="minorHAnsi"/>
      <w:sz w:val="20"/>
      <w:szCs w:val="20"/>
      <w:lang w:val="en-US" w:eastAsia="en-US"/>
    </w:rPr>
  </w:style>
  <w:style w:type="paragraph" w:customStyle="1" w:styleId="Pagetitle">
    <w:name w:val="Page title"/>
    <w:basedOn w:val="Heading1"/>
    <w:rsid w:val="00AA172F"/>
    <w:pPr>
      <w:spacing w:line="360" w:lineRule="auto"/>
    </w:pPr>
    <w:rPr>
      <w:rFonts w:ascii="Arial" w:eastAsia="Times" w:hAnsi="Arial"/>
      <w:bCs w:val="0"/>
      <w:color w:val="14003C"/>
      <w:sz w:val="40"/>
      <w:szCs w:val="20"/>
    </w:rPr>
  </w:style>
  <w:style w:type="character" w:styleId="FootnoteReference">
    <w:name w:val="footnote reference"/>
    <w:basedOn w:val="DefaultParagraphFont"/>
    <w:semiHidden/>
    <w:unhideWhenUsed/>
    <w:rsid w:val="00AA172F"/>
    <w:rPr>
      <w:vertAlign w:val="superscript"/>
    </w:rPr>
  </w:style>
  <w:style w:type="character" w:styleId="Emphasis">
    <w:name w:val="Emphasis"/>
    <w:basedOn w:val="DefaultParagraphFont"/>
    <w:uiPriority w:val="20"/>
    <w:qFormat/>
    <w:rsid w:val="00216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114">
      <w:bodyDiv w:val="1"/>
      <w:marLeft w:val="0"/>
      <w:marRight w:val="0"/>
      <w:marTop w:val="0"/>
      <w:marBottom w:val="0"/>
      <w:divBdr>
        <w:top w:val="none" w:sz="0" w:space="0" w:color="auto"/>
        <w:left w:val="none" w:sz="0" w:space="0" w:color="auto"/>
        <w:bottom w:val="none" w:sz="0" w:space="0" w:color="auto"/>
        <w:right w:val="none" w:sz="0" w:space="0" w:color="auto"/>
      </w:divBdr>
    </w:div>
    <w:div w:id="542912134">
      <w:bodyDiv w:val="1"/>
      <w:marLeft w:val="0"/>
      <w:marRight w:val="0"/>
      <w:marTop w:val="0"/>
      <w:marBottom w:val="0"/>
      <w:divBdr>
        <w:top w:val="none" w:sz="0" w:space="0" w:color="auto"/>
        <w:left w:val="none" w:sz="0" w:space="0" w:color="auto"/>
        <w:bottom w:val="none" w:sz="0" w:space="0" w:color="auto"/>
        <w:right w:val="none" w:sz="0" w:space="0" w:color="auto"/>
      </w:divBdr>
    </w:div>
    <w:div w:id="860432332">
      <w:bodyDiv w:val="1"/>
      <w:marLeft w:val="0"/>
      <w:marRight w:val="0"/>
      <w:marTop w:val="0"/>
      <w:marBottom w:val="0"/>
      <w:divBdr>
        <w:top w:val="none" w:sz="0" w:space="0" w:color="auto"/>
        <w:left w:val="none" w:sz="0" w:space="0" w:color="auto"/>
        <w:bottom w:val="none" w:sz="0" w:space="0" w:color="auto"/>
        <w:right w:val="none" w:sz="0" w:space="0" w:color="auto"/>
      </w:divBdr>
    </w:div>
    <w:div w:id="1282688127">
      <w:bodyDiv w:val="1"/>
      <w:marLeft w:val="0"/>
      <w:marRight w:val="0"/>
      <w:marTop w:val="0"/>
      <w:marBottom w:val="0"/>
      <w:divBdr>
        <w:top w:val="none" w:sz="0" w:space="0" w:color="auto"/>
        <w:left w:val="none" w:sz="0" w:space="0" w:color="auto"/>
        <w:bottom w:val="none" w:sz="0" w:space="0" w:color="auto"/>
        <w:right w:val="none" w:sz="0" w:space="0" w:color="auto"/>
      </w:divBdr>
    </w:div>
    <w:div w:id="1314093314">
      <w:bodyDiv w:val="1"/>
      <w:marLeft w:val="0"/>
      <w:marRight w:val="0"/>
      <w:marTop w:val="0"/>
      <w:marBottom w:val="0"/>
      <w:divBdr>
        <w:top w:val="none" w:sz="0" w:space="0" w:color="auto"/>
        <w:left w:val="none" w:sz="0" w:space="0" w:color="auto"/>
        <w:bottom w:val="none" w:sz="0" w:space="0" w:color="auto"/>
        <w:right w:val="none" w:sz="0" w:space="0" w:color="auto"/>
      </w:divBdr>
    </w:div>
    <w:div w:id="1355686737">
      <w:bodyDiv w:val="1"/>
      <w:marLeft w:val="0"/>
      <w:marRight w:val="0"/>
      <w:marTop w:val="0"/>
      <w:marBottom w:val="0"/>
      <w:divBdr>
        <w:top w:val="none" w:sz="0" w:space="0" w:color="auto"/>
        <w:left w:val="none" w:sz="0" w:space="0" w:color="auto"/>
        <w:bottom w:val="none" w:sz="0" w:space="0" w:color="auto"/>
        <w:right w:val="none" w:sz="0" w:space="0" w:color="auto"/>
      </w:divBdr>
    </w:div>
    <w:div w:id="1406948962">
      <w:bodyDiv w:val="1"/>
      <w:marLeft w:val="0"/>
      <w:marRight w:val="0"/>
      <w:marTop w:val="0"/>
      <w:marBottom w:val="0"/>
      <w:divBdr>
        <w:top w:val="none" w:sz="0" w:space="0" w:color="auto"/>
        <w:left w:val="none" w:sz="0" w:space="0" w:color="auto"/>
        <w:bottom w:val="none" w:sz="0" w:space="0" w:color="auto"/>
        <w:right w:val="none" w:sz="0" w:space="0" w:color="auto"/>
      </w:divBdr>
    </w:div>
    <w:div w:id="1587156458">
      <w:bodyDiv w:val="1"/>
      <w:marLeft w:val="0"/>
      <w:marRight w:val="0"/>
      <w:marTop w:val="0"/>
      <w:marBottom w:val="0"/>
      <w:divBdr>
        <w:top w:val="none" w:sz="0" w:space="0" w:color="auto"/>
        <w:left w:val="none" w:sz="0" w:space="0" w:color="auto"/>
        <w:bottom w:val="none" w:sz="0" w:space="0" w:color="auto"/>
        <w:right w:val="none" w:sz="0" w:space="0" w:color="auto"/>
      </w:divBdr>
    </w:div>
    <w:div w:id="1589071190">
      <w:bodyDiv w:val="1"/>
      <w:marLeft w:val="0"/>
      <w:marRight w:val="0"/>
      <w:marTop w:val="0"/>
      <w:marBottom w:val="0"/>
      <w:divBdr>
        <w:top w:val="none" w:sz="0" w:space="0" w:color="auto"/>
        <w:left w:val="none" w:sz="0" w:space="0" w:color="auto"/>
        <w:bottom w:val="none" w:sz="0" w:space="0" w:color="auto"/>
        <w:right w:val="none" w:sz="0" w:space="0" w:color="auto"/>
      </w:divBdr>
    </w:div>
    <w:div w:id="1691450197">
      <w:bodyDiv w:val="1"/>
      <w:marLeft w:val="0"/>
      <w:marRight w:val="0"/>
      <w:marTop w:val="0"/>
      <w:marBottom w:val="0"/>
      <w:divBdr>
        <w:top w:val="none" w:sz="0" w:space="0" w:color="auto"/>
        <w:left w:val="none" w:sz="0" w:space="0" w:color="auto"/>
        <w:bottom w:val="none" w:sz="0" w:space="0" w:color="auto"/>
        <w:right w:val="none" w:sz="0" w:space="0" w:color="auto"/>
      </w:divBdr>
    </w:div>
    <w:div w:id="2004970861">
      <w:bodyDiv w:val="1"/>
      <w:marLeft w:val="0"/>
      <w:marRight w:val="0"/>
      <w:marTop w:val="0"/>
      <w:marBottom w:val="0"/>
      <w:divBdr>
        <w:top w:val="none" w:sz="0" w:space="0" w:color="auto"/>
        <w:left w:val="none" w:sz="0" w:space="0" w:color="auto"/>
        <w:bottom w:val="none" w:sz="0" w:space="0" w:color="auto"/>
        <w:right w:val="none" w:sz="0" w:space="0" w:color="auto"/>
      </w:divBdr>
    </w:div>
    <w:div w:id="20737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psychology.about.com/od/behavioralpsychology/a/introopcond.htm" TargetMode="External"/><Relationship Id="rId2" Type="http://schemas.openxmlformats.org/officeDocument/2006/relationships/numbering" Target="numbering.xml"/><Relationship Id="rId16" Type="http://schemas.openxmlformats.org/officeDocument/2006/relationships/hyperlink" Target="http://psychology.about.com/od/classicalconditioning/a/pavlovs-dog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mail.google.com/mail/u/0/" TargetMode="Externa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mail.google.com/mail/u/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ye\Documents\Draft%20Gambling%20Policy%202015-2019%20-%20Data%20Colle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ROBERTS-PALMER\Documents\Offline%20Records%20(TL)\Gambling%20~%20Policy%20Formulation%20(Major%20Significance%20on%20Agency%20Operations)\Draft%20Gambling%20Policy%202015-2019%20-%20Data%20Collec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ye\Documents\Draft%20Gambling%20Policy%202015-2019%20-%20Data%20Collec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ROBERTS-PALMER\Documents\Offline%20Records%20(TL)\Gambling%20~%20Policy%20Formulation%20(Major%20Significance%20on%20Agency%20Operations)\Draft%20Gambling%20Policy%202015-2019%20-%20Data%20Collec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ROBERTS-PALMER\Documents\Offline%20Records%20(TL)\Gambling%20~%20Policy%20Formulation%20(Major%20Significance%20on%20Agency%20Operations)\Draft%20Gambling%20Policy%202015-2019%20-%20Data%20Coll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 Legal</a:t>
            </a:r>
            <a:r>
              <a:rPr lang="en-US" sz="1400" baseline="0"/>
              <a:t> Gambling </a:t>
            </a:r>
            <a:r>
              <a:rPr lang="en-US" sz="1400"/>
              <a:t>Losses from Gambling in Victoria 2013-14 $m</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'Gambling Expenditure'!$C$3</c:f>
              <c:strCache>
                <c:ptCount val="1"/>
                <c:pt idx="0">
                  <c:v>Player Losses</c:v>
                </c:pt>
              </c:strCache>
            </c:strRef>
          </c:tx>
          <c:spPr>
            <a:ln>
              <a:solidFill>
                <a:sysClr val="windowText" lastClr="000000"/>
              </a:solidFill>
            </a:ln>
          </c:spPr>
          <c:dPt>
            <c:idx val="0"/>
            <c:bubble3D val="0"/>
            <c:spPr>
              <a:solidFill>
                <a:schemeClr val="tx2">
                  <a:lumMod val="75000"/>
                </a:schemeClr>
              </a:solidFill>
              <a:ln>
                <a:solidFill>
                  <a:sysClr val="windowText" lastClr="000000"/>
                </a:solidFill>
              </a:ln>
            </c:spPr>
          </c:dPt>
          <c:dPt>
            <c:idx val="1"/>
            <c:bubble3D val="0"/>
            <c:spPr>
              <a:solidFill>
                <a:schemeClr val="accent2">
                  <a:lumMod val="75000"/>
                </a:schemeClr>
              </a:solidFill>
              <a:ln>
                <a:solidFill>
                  <a:sysClr val="windowText" lastClr="000000"/>
                </a:solidFill>
              </a:ln>
            </c:spPr>
          </c:dPt>
          <c:dPt>
            <c:idx val="2"/>
            <c:bubble3D val="0"/>
            <c:spPr>
              <a:solidFill>
                <a:schemeClr val="accent6">
                  <a:lumMod val="75000"/>
                </a:schemeClr>
              </a:solidFill>
              <a:ln>
                <a:solidFill>
                  <a:sysClr val="windowText" lastClr="000000"/>
                </a:solidFill>
              </a:ln>
            </c:spPr>
          </c:dPt>
          <c:dPt>
            <c:idx val="3"/>
            <c:bubble3D val="0"/>
            <c:spPr>
              <a:solidFill>
                <a:schemeClr val="accent4">
                  <a:lumMod val="75000"/>
                </a:schemeClr>
              </a:solidFill>
              <a:ln>
                <a:solidFill>
                  <a:sysClr val="windowText" lastClr="000000"/>
                </a:solidFill>
              </a:ln>
            </c:spPr>
          </c:dPt>
          <c:dPt>
            <c:idx val="4"/>
            <c:bubble3D val="0"/>
            <c:spPr>
              <a:solidFill>
                <a:schemeClr val="accent3">
                  <a:lumMod val="50000"/>
                </a:schemeClr>
              </a:solidFill>
              <a:ln>
                <a:solidFill>
                  <a:sysClr val="windowText" lastClr="000000"/>
                </a:solidFill>
              </a:ln>
            </c:spPr>
          </c:dPt>
          <c:dLbls>
            <c:dLbl>
              <c:idx val="0"/>
              <c:layout>
                <c:manualLayout>
                  <c:x val="-0.20480945767865688"/>
                  <c:y val="6.4262965386642834E-2"/>
                </c:manualLayout>
              </c:layout>
              <c:tx>
                <c:rich>
                  <a:bodyPr/>
                  <a:lstStyle/>
                  <a:p>
                    <a:r>
                      <a:rPr lang="en-US">
                        <a:solidFill>
                          <a:schemeClr val="bg1"/>
                        </a:solidFill>
                      </a:rPr>
                      <a:t> Casino 1,556.8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512217243820118E-2"/>
                  <c:y val="-0.31462528014848268"/>
                </c:manualLayout>
              </c:layout>
              <c:tx>
                <c:rich>
                  <a:bodyPr/>
                  <a:lstStyle/>
                  <a:p>
                    <a:r>
                      <a:rPr lang="en-US">
                        <a:solidFill>
                          <a:schemeClr val="bg1"/>
                        </a:solidFill>
                      </a:rPr>
                      <a:t>EGMs 2,504.3</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Keno 15.0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 </a:t>
                    </a:r>
                    <a:r>
                      <a:rPr lang="en-US">
                        <a:solidFill>
                          <a:schemeClr val="bg1"/>
                        </a:solidFill>
                      </a:rPr>
                      <a:t>Wagering and Racing 825.2</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solidFill>
                          <a:schemeClr val="bg1"/>
                        </a:solidFill>
                      </a:rPr>
                      <a:t> Lotteries</a:t>
                    </a:r>
                    <a:r>
                      <a:rPr lang="en-US" baseline="0">
                        <a:solidFill>
                          <a:schemeClr val="bg1"/>
                        </a:solidFill>
                      </a:rPr>
                      <a:t> </a:t>
                    </a:r>
                    <a:r>
                      <a:rPr lang="en-US">
                        <a:solidFill>
                          <a:schemeClr val="bg1"/>
                        </a:solidFill>
                      </a:rPr>
                      <a:t>492.1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'Gambling Expenditure'!$B$4:$B$8</c:f>
              <c:strCache>
                <c:ptCount val="5"/>
                <c:pt idx="0">
                  <c:v>Casino</c:v>
                </c:pt>
                <c:pt idx="1">
                  <c:v>Gaming </c:v>
                </c:pt>
                <c:pt idx="2">
                  <c:v>Keno</c:v>
                </c:pt>
                <c:pt idx="3">
                  <c:v>Wagering and Racing</c:v>
                </c:pt>
                <c:pt idx="4">
                  <c:v>Lotteries</c:v>
                </c:pt>
              </c:strCache>
            </c:strRef>
          </c:cat>
          <c:val>
            <c:numRef>
              <c:f>'Gambling Expenditure'!$C$4:$C$8</c:f>
              <c:numCache>
                <c:formatCode>0.0</c:formatCode>
                <c:ptCount val="5"/>
                <c:pt idx="0">
                  <c:v>1556.8</c:v>
                </c:pt>
                <c:pt idx="1">
                  <c:v>2504.3000000000002</c:v>
                </c:pt>
                <c:pt idx="2">
                  <c:v>15</c:v>
                </c:pt>
                <c:pt idx="3">
                  <c:v>825.2</c:v>
                </c:pt>
                <c:pt idx="4">
                  <c:v>492.1</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t>Legal Gambling Losses as a Percentage of </a:t>
            </a:r>
            <a:endParaRPr lang="en-AU" sz="1400"/>
          </a:p>
          <a:p>
            <a:pPr>
              <a:defRPr sz="1400"/>
            </a:pPr>
            <a:r>
              <a:rPr lang="en-US" sz="1400" b="1" i="0" baseline="0"/>
              <a:t>Household Disposible Income in Victoria</a:t>
            </a:r>
            <a:endParaRPr lang="en-US"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'EGM Gambling Household'!$C$28</c:f>
              <c:strCache>
                <c:ptCount val="1"/>
                <c:pt idx="0">
                  <c:v>Percentage</c:v>
                </c:pt>
              </c:strCache>
            </c:strRef>
          </c:tx>
          <c:spPr>
            <a:ln>
              <a:solidFill>
                <a:sysClr val="windowText" lastClr="000000"/>
              </a:solidFill>
            </a:ln>
          </c:spPr>
          <c:invertIfNegative val="0"/>
          <c:dLbls>
            <c:dLbl>
              <c:idx val="0"/>
              <c:layout>
                <c:manualLayout>
                  <c:x val="2.1621621621621612E-2"/>
                  <c:y val="-2.1220159151193598E-2"/>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414414414414402E-2"/>
                  <c:y val="-3.1830238726790978E-2"/>
                </c:manualLayout>
              </c:layout>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414414414414402E-2"/>
                  <c:y val="-2.4756852343059198E-2"/>
                </c:manualLayout>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4144144144145E-2"/>
                  <c:y val="-2.1220159151193598E-2"/>
                </c:manualLayout>
              </c:layout>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426426426426411E-2"/>
                  <c:y val="-3.18302387267909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'EGM Gambling Household'!$B$29:$B$33</c:f>
              <c:strCache>
                <c:ptCount val="5"/>
                <c:pt idx="0">
                  <c:v>Electronic Gaming Machines</c:v>
                </c:pt>
                <c:pt idx="1">
                  <c:v>Casino</c:v>
                </c:pt>
                <c:pt idx="2">
                  <c:v>Wagering and Racing</c:v>
                </c:pt>
                <c:pt idx="3">
                  <c:v>Lotteries</c:v>
                </c:pt>
                <c:pt idx="4">
                  <c:v>Keno</c:v>
                </c:pt>
              </c:strCache>
            </c:strRef>
          </c:cat>
          <c:val>
            <c:numRef>
              <c:f>'EGM Gambling Household'!$C$29:$C$33</c:f>
              <c:numCache>
                <c:formatCode>General</c:formatCode>
                <c:ptCount val="5"/>
                <c:pt idx="0">
                  <c:v>1.073</c:v>
                </c:pt>
                <c:pt idx="1">
                  <c:v>0.66200000000000592</c:v>
                </c:pt>
                <c:pt idx="2">
                  <c:v>0.33300000000000296</c:v>
                </c:pt>
                <c:pt idx="3">
                  <c:v>0.22600000000000001</c:v>
                </c:pt>
                <c:pt idx="4">
                  <c:v>6.0000000000000114E-3</c:v>
                </c:pt>
              </c:numCache>
            </c:numRef>
          </c:val>
        </c:ser>
        <c:dLbls>
          <c:showLegendKey val="0"/>
          <c:showVal val="0"/>
          <c:showCatName val="0"/>
          <c:showSerName val="0"/>
          <c:showPercent val="0"/>
          <c:showBubbleSize val="0"/>
        </c:dLbls>
        <c:gapWidth val="50"/>
        <c:gapDepth val="50"/>
        <c:shape val="cylinder"/>
        <c:axId val="163187544"/>
        <c:axId val="161169936"/>
        <c:axId val="0"/>
      </c:bar3DChart>
      <c:catAx>
        <c:axId val="163187544"/>
        <c:scaling>
          <c:orientation val="minMax"/>
        </c:scaling>
        <c:delete val="0"/>
        <c:axPos val="b"/>
        <c:numFmt formatCode="General" sourceLinked="0"/>
        <c:majorTickMark val="out"/>
        <c:minorTickMark val="none"/>
        <c:tickLblPos val="nextTo"/>
        <c:crossAx val="161169936"/>
        <c:crosses val="autoZero"/>
        <c:auto val="1"/>
        <c:lblAlgn val="ctr"/>
        <c:lblOffset val="100"/>
        <c:noMultiLvlLbl val="0"/>
      </c:catAx>
      <c:valAx>
        <c:axId val="161169936"/>
        <c:scaling>
          <c:orientation val="minMax"/>
        </c:scaling>
        <c:delete val="0"/>
        <c:axPos val="l"/>
        <c:title>
          <c:tx>
            <c:rich>
              <a:bodyPr rot="-5400000" vert="horz"/>
              <a:lstStyle/>
              <a:p>
                <a:pPr>
                  <a:defRPr/>
                </a:pPr>
                <a:r>
                  <a:rPr lang="en-US"/>
                  <a:t>Percentage</a:t>
                </a:r>
              </a:p>
            </c:rich>
          </c:tx>
          <c:layout/>
          <c:overlay val="0"/>
        </c:title>
        <c:numFmt formatCode="General" sourceLinked="1"/>
        <c:majorTickMark val="out"/>
        <c:minorTickMark val="none"/>
        <c:tickLblPos val="nextTo"/>
        <c:crossAx val="16318754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Victorian Gambling Taxation 2013-14  $m</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'Gambling Taxation'!$C$4</c:f>
              <c:strCache>
                <c:ptCount val="1"/>
                <c:pt idx="0">
                  <c:v>Taxation </c:v>
                </c:pt>
              </c:strCache>
            </c:strRef>
          </c:tx>
          <c:spPr>
            <a:ln>
              <a:solidFill>
                <a:sysClr val="windowText" lastClr="000000"/>
              </a:solidFill>
            </a:ln>
          </c:spPr>
          <c:dPt>
            <c:idx val="0"/>
            <c:bubble3D val="0"/>
            <c:spPr>
              <a:solidFill>
                <a:schemeClr val="tx2"/>
              </a:solidFill>
              <a:ln>
                <a:solidFill>
                  <a:sysClr val="windowText" lastClr="000000"/>
                </a:solidFill>
              </a:ln>
            </c:spPr>
          </c:dPt>
          <c:dPt>
            <c:idx val="1"/>
            <c:bubble3D val="0"/>
            <c:spPr>
              <a:solidFill>
                <a:schemeClr val="accent2">
                  <a:lumMod val="75000"/>
                </a:schemeClr>
              </a:solidFill>
              <a:ln>
                <a:solidFill>
                  <a:sysClr val="windowText" lastClr="000000"/>
                </a:solidFill>
              </a:ln>
            </c:spPr>
          </c:dPt>
          <c:dPt>
            <c:idx val="2"/>
            <c:bubble3D val="0"/>
            <c:spPr>
              <a:solidFill>
                <a:schemeClr val="accent6">
                  <a:lumMod val="75000"/>
                </a:schemeClr>
              </a:solidFill>
              <a:ln>
                <a:solidFill>
                  <a:sysClr val="windowText" lastClr="000000"/>
                </a:solidFill>
              </a:ln>
            </c:spPr>
          </c:dPt>
          <c:dPt>
            <c:idx val="3"/>
            <c:bubble3D val="0"/>
            <c:spPr>
              <a:solidFill>
                <a:schemeClr val="accent4">
                  <a:lumMod val="75000"/>
                </a:schemeClr>
              </a:solidFill>
              <a:ln>
                <a:solidFill>
                  <a:sysClr val="windowText" lastClr="000000"/>
                </a:solidFill>
              </a:ln>
            </c:spPr>
          </c:dPt>
          <c:dPt>
            <c:idx val="4"/>
            <c:bubble3D val="0"/>
            <c:spPr>
              <a:solidFill>
                <a:schemeClr val="accent3">
                  <a:lumMod val="50000"/>
                </a:schemeClr>
              </a:solidFill>
              <a:ln>
                <a:solidFill>
                  <a:sysClr val="windowText" lastClr="000000"/>
                </a:solidFill>
              </a:ln>
            </c:spPr>
          </c:dPt>
          <c:dLbls>
            <c:dLbl>
              <c:idx val="0"/>
              <c:layout/>
              <c:tx>
                <c:rich>
                  <a:bodyPr/>
                  <a:lstStyle/>
                  <a:p>
                    <a:r>
                      <a:rPr lang="en-US"/>
                      <a:t>Casino 207.7</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 EGMs 870.5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947279738180886E-2"/>
                  <c:y val="-3.2836419923034252E-2"/>
                </c:manualLayout>
              </c:layout>
              <c:tx>
                <c:rich>
                  <a:bodyPr/>
                  <a:lstStyle/>
                  <a:p>
                    <a:r>
                      <a:rPr lang="en-US">
                        <a:solidFill>
                          <a:sysClr val="windowText" lastClr="000000"/>
                        </a:solidFill>
                      </a:rPr>
                      <a:t>Keno</a:t>
                    </a:r>
                    <a:r>
                      <a:rPr lang="en-US" baseline="0">
                        <a:solidFill>
                          <a:sysClr val="windowText" lastClr="000000"/>
                        </a:solidFill>
                      </a:rPr>
                      <a:t> 3.6</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869684499314932E-3"/>
                  <c:y val="-0.15089722176336492"/>
                </c:manualLayout>
              </c:layout>
              <c:tx>
                <c:rich>
                  <a:bodyPr/>
                  <a:lstStyle/>
                  <a:p>
                    <a:r>
                      <a:rPr lang="en-US">
                        <a:solidFill>
                          <a:sysClr val="windowText" lastClr="000000"/>
                        </a:solidFill>
                      </a:rPr>
                      <a:t>Wagering and Racing 57.6</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Lotteries 390.7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'Gambling Taxation'!$B$5:$B$9</c:f>
              <c:strCache>
                <c:ptCount val="5"/>
                <c:pt idx="0">
                  <c:v>Casino</c:v>
                </c:pt>
                <c:pt idx="1">
                  <c:v>Gaming </c:v>
                </c:pt>
                <c:pt idx="2">
                  <c:v>Keno</c:v>
                </c:pt>
                <c:pt idx="3">
                  <c:v>Wagering and Racing</c:v>
                </c:pt>
                <c:pt idx="4">
                  <c:v>Lotteries</c:v>
                </c:pt>
              </c:strCache>
            </c:strRef>
          </c:cat>
          <c:val>
            <c:numRef>
              <c:f>'Gambling Taxation'!$C$5:$C$9</c:f>
              <c:numCache>
                <c:formatCode>General</c:formatCode>
                <c:ptCount val="5"/>
                <c:pt idx="0">
                  <c:v>207.7</c:v>
                </c:pt>
                <c:pt idx="1">
                  <c:v>870.5</c:v>
                </c:pt>
                <c:pt idx="2">
                  <c:v>3.6</c:v>
                </c:pt>
                <c:pt idx="3">
                  <c:v>57.6</c:v>
                </c:pt>
                <c:pt idx="4">
                  <c:v>390.7</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EGM Losses by suburb in the City of Maribyrnong </a:t>
            </a:r>
          </a:p>
          <a:p>
            <a:pPr>
              <a:defRPr sz="1400"/>
            </a:pPr>
            <a:r>
              <a:rPr lang="en-US" sz="1400"/>
              <a:t>2014-15 $m</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'EGM Gambling'!$E$27</c:f>
              <c:strCache>
                <c:ptCount val="1"/>
                <c:pt idx="0">
                  <c:v>Losses $m</c:v>
                </c:pt>
              </c:strCache>
            </c:strRef>
          </c:tx>
          <c:spPr>
            <a:ln>
              <a:solidFill>
                <a:sysClr val="windowText" lastClr="000000"/>
              </a:solidFill>
            </a:ln>
          </c:spPr>
          <c:invertIfNegative val="0"/>
          <c:dLbls>
            <c:dLbl>
              <c:idx val="0"/>
              <c:layout>
                <c:manualLayout>
                  <c:x val="6.289308176100729E-3"/>
                  <c:y val="-2.78503046127069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57232704402552E-2"/>
                  <c:y val="-3.82941688424717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446540880503519E-2"/>
                  <c:y val="-4.177545691906008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64360587002212E-2"/>
                  <c:y val="-3.13315926892954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867924528301903E-2"/>
                  <c:y val="-4.177545691905995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'EGM Gambling'!$D$28:$D$32</c:f>
              <c:strCache>
                <c:ptCount val="5"/>
                <c:pt idx="0">
                  <c:v>Braybrook</c:v>
                </c:pt>
                <c:pt idx="1">
                  <c:v>Footscray</c:v>
                </c:pt>
                <c:pt idx="2">
                  <c:v>Maidstone</c:v>
                </c:pt>
                <c:pt idx="3">
                  <c:v>Maribyrnong</c:v>
                </c:pt>
                <c:pt idx="4">
                  <c:v>Yarraville </c:v>
                </c:pt>
              </c:strCache>
            </c:strRef>
          </c:cat>
          <c:val>
            <c:numRef>
              <c:f>'EGM Gambling'!$E$28:$E$32</c:f>
              <c:numCache>
                <c:formatCode>General</c:formatCode>
                <c:ptCount val="5"/>
                <c:pt idx="0">
                  <c:v>14.860000000000024</c:v>
                </c:pt>
                <c:pt idx="1">
                  <c:v>11.01</c:v>
                </c:pt>
                <c:pt idx="2">
                  <c:v>13.61</c:v>
                </c:pt>
                <c:pt idx="3">
                  <c:v>6.83</c:v>
                </c:pt>
                <c:pt idx="4">
                  <c:v>6.64</c:v>
                </c:pt>
              </c:numCache>
            </c:numRef>
          </c:val>
        </c:ser>
        <c:dLbls>
          <c:showLegendKey val="0"/>
          <c:showVal val="0"/>
          <c:showCatName val="0"/>
          <c:showSerName val="0"/>
          <c:showPercent val="0"/>
          <c:showBubbleSize val="0"/>
        </c:dLbls>
        <c:gapWidth val="50"/>
        <c:gapDepth val="50"/>
        <c:shape val="cylinder"/>
        <c:axId val="163194904"/>
        <c:axId val="165131904"/>
        <c:axId val="0"/>
      </c:bar3DChart>
      <c:catAx>
        <c:axId val="163194904"/>
        <c:scaling>
          <c:orientation val="minMax"/>
        </c:scaling>
        <c:delete val="0"/>
        <c:axPos val="b"/>
        <c:numFmt formatCode="General" sourceLinked="0"/>
        <c:majorTickMark val="out"/>
        <c:minorTickMark val="none"/>
        <c:tickLblPos val="nextTo"/>
        <c:crossAx val="165131904"/>
        <c:crosses val="autoZero"/>
        <c:auto val="1"/>
        <c:lblAlgn val="ctr"/>
        <c:lblOffset val="100"/>
        <c:noMultiLvlLbl val="0"/>
      </c:catAx>
      <c:valAx>
        <c:axId val="165131904"/>
        <c:scaling>
          <c:orientation val="minMax"/>
        </c:scaling>
        <c:delete val="0"/>
        <c:axPos val="l"/>
        <c:numFmt formatCode="General" sourceLinked="1"/>
        <c:majorTickMark val="out"/>
        <c:minorTickMark val="none"/>
        <c:tickLblPos val="nextTo"/>
        <c:crossAx val="16319490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Number of EGMs in the</a:t>
            </a:r>
            <a:r>
              <a:rPr lang="en-US" sz="1400" baseline="0"/>
              <a:t> City of Maribyrnong </a:t>
            </a:r>
            <a:endParaRPr lang="en-US"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'EGM Gambling'!$E$51</c:f>
              <c:strCache>
                <c:ptCount val="1"/>
                <c:pt idx="0">
                  <c:v>Number</c:v>
                </c:pt>
              </c:strCache>
            </c:strRef>
          </c:tx>
          <c:spPr>
            <a:ln>
              <a:solidFill>
                <a:sysClr val="windowText" lastClr="000000"/>
              </a:solidFill>
            </a:ln>
          </c:spPr>
          <c:invertIfNegative val="0"/>
          <c:dLbls>
            <c:dLbl>
              <c:idx val="0"/>
              <c:layout>
                <c:manualLayout>
                  <c:x val="1.5739002270584595E-2"/>
                  <c:y val="-4.13145539906103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987633501967405E-2"/>
                  <c:y val="-2.62910798122066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490725126475601E-2"/>
                  <c:y val="-3.3802816901408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490548082838803E-2"/>
                  <c:y val="-2.30660162044961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236087689713859E-2"/>
                  <c:y val="-3.380281690140840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'EGM Gambling'!$D$52:$D$56</c:f>
              <c:strCache>
                <c:ptCount val="5"/>
                <c:pt idx="0">
                  <c:v>Braybrook</c:v>
                </c:pt>
                <c:pt idx="1">
                  <c:v>Footscray</c:v>
                </c:pt>
                <c:pt idx="2">
                  <c:v>Maidstone</c:v>
                </c:pt>
                <c:pt idx="3">
                  <c:v>Maribyrnong</c:v>
                </c:pt>
                <c:pt idx="4">
                  <c:v>Yarraville </c:v>
                </c:pt>
              </c:strCache>
            </c:strRef>
          </c:cat>
          <c:val>
            <c:numRef>
              <c:f>'EGM Gambling'!$E$52:$E$56</c:f>
              <c:numCache>
                <c:formatCode>General</c:formatCode>
                <c:ptCount val="5"/>
                <c:pt idx="0">
                  <c:v>81</c:v>
                </c:pt>
                <c:pt idx="1">
                  <c:v>81</c:v>
                </c:pt>
                <c:pt idx="2">
                  <c:v>76</c:v>
                </c:pt>
                <c:pt idx="3">
                  <c:v>70</c:v>
                </c:pt>
                <c:pt idx="4">
                  <c:v>107</c:v>
                </c:pt>
              </c:numCache>
            </c:numRef>
          </c:val>
        </c:ser>
        <c:dLbls>
          <c:showLegendKey val="0"/>
          <c:showVal val="0"/>
          <c:showCatName val="0"/>
          <c:showSerName val="0"/>
          <c:showPercent val="0"/>
          <c:showBubbleSize val="0"/>
        </c:dLbls>
        <c:gapWidth val="50"/>
        <c:gapDepth val="50"/>
        <c:shape val="cylinder"/>
        <c:axId val="248200384"/>
        <c:axId val="163265888"/>
        <c:axId val="0"/>
      </c:bar3DChart>
      <c:catAx>
        <c:axId val="248200384"/>
        <c:scaling>
          <c:orientation val="minMax"/>
        </c:scaling>
        <c:delete val="0"/>
        <c:axPos val="b"/>
        <c:numFmt formatCode="General" sourceLinked="0"/>
        <c:majorTickMark val="out"/>
        <c:minorTickMark val="none"/>
        <c:tickLblPos val="nextTo"/>
        <c:crossAx val="163265888"/>
        <c:crosses val="autoZero"/>
        <c:auto val="1"/>
        <c:lblAlgn val="ctr"/>
        <c:lblOffset val="100"/>
        <c:noMultiLvlLbl val="0"/>
      </c:catAx>
      <c:valAx>
        <c:axId val="163265888"/>
        <c:scaling>
          <c:orientation val="minMax"/>
        </c:scaling>
        <c:delete val="0"/>
        <c:axPos val="l"/>
        <c:title>
          <c:tx>
            <c:rich>
              <a:bodyPr rot="-5400000" vert="horz"/>
              <a:lstStyle/>
              <a:p>
                <a:pPr>
                  <a:defRPr/>
                </a:pPr>
                <a:r>
                  <a:rPr lang="en-US"/>
                  <a:t>Number of EGMs</a:t>
                </a:r>
              </a:p>
            </c:rich>
          </c:tx>
          <c:layout/>
          <c:overlay val="0"/>
        </c:title>
        <c:numFmt formatCode="General" sourceLinked="1"/>
        <c:majorTickMark val="out"/>
        <c:minorTickMark val="none"/>
        <c:tickLblPos val="nextTo"/>
        <c:crossAx val="2482003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7A67-AA54-4DA7-91C2-9EC0BCCA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4549</Words>
  <Characters>25931</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Maribyrnong City Council</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Roberts-Palmer</dc:creator>
  <cp:lastModifiedBy>TCHURCHILL</cp:lastModifiedBy>
  <cp:revision>2</cp:revision>
  <cp:lastPrinted>2016-03-18T00:43:00Z</cp:lastPrinted>
  <dcterms:created xsi:type="dcterms:W3CDTF">2016-04-26T01:33:00Z</dcterms:created>
  <dcterms:modified xsi:type="dcterms:W3CDTF">2016-04-26T01:33:00Z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-2043710178</vt:i4>
  </property>
  <property fmtid="{D5CDD505-2E9C-101B-9397-08002B2CF9AE}" pid="4" name="_EmailSubject">
    <vt:lpwstr>Gambling Background Paper</vt:lpwstr>
  </property>
  <property fmtid="{D5CDD505-2E9C-101B-9397-08002B2CF9AE}" pid="5" name="_AuthorEmail">
    <vt:lpwstr>Malcolm.Roberts-Palmer@maribyrnong.vic.gov.au</vt:lpwstr>
  </property>
  <property fmtid="{D5CDD505-2E9C-101B-9397-08002B2CF9AE}" pid="6" name="_AuthorEmailDisplayName">
    <vt:lpwstr>Malcolm Roberts-Palmer</vt:lpwstr>
  </property>
  <property fmtid="{D5CDD505-2E9C-101B-9397-08002B2CF9AE}" pid="7" name="_ReviewingToolsShownOnce">
    <vt:lpwstr/>
  </property>
</Properties>
</file>